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20.xml" ContentType="application/vnd.ms-office.chartcolorstyle+xml"/>
  <Override PartName="/word/charts/colors21.xml" ContentType="application/vnd.ms-office.chartcolorstyle+xml"/>
  <Override PartName="/word/charts/colors22.xml" ContentType="application/vnd.ms-office.chartcolorstyle+xml"/>
  <Override PartName="/word/charts/colors23.xml" ContentType="application/vnd.ms-office.chartcolorstyle+xml"/>
  <Override PartName="/word/charts/colors24.xml" ContentType="application/vnd.ms-office.chartcolorstyle+xml"/>
  <Override PartName="/word/charts/colors25.xml" ContentType="application/vnd.ms-office.chartcolorstyle+xml"/>
  <Override PartName="/word/charts/colors26.xml" ContentType="application/vnd.ms-office.chartcolorstyle+xml"/>
  <Override PartName="/word/charts/colors27.xml" ContentType="application/vnd.ms-office.chartcolorstyle+xml"/>
  <Override PartName="/word/charts/colors28.xml" ContentType="application/vnd.ms-office.chartcolorstyle+xml"/>
  <Override PartName="/word/charts/colors29.xml" ContentType="application/vnd.ms-office.chartcolorstyle+xml"/>
  <Override PartName="/word/charts/colors3.xml" ContentType="application/vnd.ms-office.chartcolorstyle+xml"/>
  <Override PartName="/word/charts/colors30.xml" ContentType="application/vnd.ms-office.chartcolorstyle+xml"/>
  <Override PartName="/word/charts/colors31.xml" ContentType="application/vnd.ms-office.chartcolorstyle+xml"/>
  <Override PartName="/word/charts/colors32.xml" ContentType="application/vnd.ms-office.chartcolorstyle+xml"/>
  <Override PartName="/word/charts/colors33.xml" ContentType="application/vnd.ms-office.chartcolorstyle+xml"/>
  <Override PartName="/word/charts/colors34.xml" ContentType="application/vnd.ms-office.chartcolorstyle+xml"/>
  <Override PartName="/word/charts/colors35.xml" ContentType="application/vnd.ms-office.chartcolorstyle+xml"/>
  <Override PartName="/word/charts/colors36.xml" ContentType="application/vnd.ms-office.chartcolorstyle+xml"/>
  <Override PartName="/word/charts/colors37.xml" ContentType="application/vnd.ms-office.chartcolorstyle+xml"/>
  <Override PartName="/word/charts/colors38.xml" ContentType="application/vnd.ms-office.chartcolorstyle+xml"/>
  <Override PartName="/word/charts/colors39.xml" ContentType="application/vnd.ms-office.chartcolorstyle+xml"/>
  <Override PartName="/word/charts/colors4.xml" ContentType="application/vnd.ms-office.chartcolorstyle+xml"/>
  <Override PartName="/word/charts/colors40.xml" ContentType="application/vnd.ms-office.chartcolorstyle+xml"/>
  <Override PartName="/word/charts/colors41.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20.xml" ContentType="application/vnd.ms-office.chartstyle+xml"/>
  <Override PartName="/word/charts/style21.xml" ContentType="application/vnd.ms-office.chartstyle+xml"/>
  <Override PartName="/word/charts/style22.xml" ContentType="application/vnd.ms-office.chartstyle+xml"/>
  <Override PartName="/word/charts/style23.xml" ContentType="application/vnd.ms-office.chartstyle+xml"/>
  <Override PartName="/word/charts/style24.xml" ContentType="application/vnd.ms-office.chartstyle+xml"/>
  <Override PartName="/word/charts/style25.xml" ContentType="application/vnd.ms-office.chartstyle+xml"/>
  <Override PartName="/word/charts/style26.xml" ContentType="application/vnd.ms-office.chartstyle+xml"/>
  <Override PartName="/word/charts/style27.xml" ContentType="application/vnd.ms-office.chartstyle+xml"/>
  <Override PartName="/word/charts/style28.xml" ContentType="application/vnd.ms-office.chartstyle+xml"/>
  <Override PartName="/word/charts/style29.xml" ContentType="application/vnd.ms-office.chartstyle+xml"/>
  <Override PartName="/word/charts/style3.xml" ContentType="application/vnd.ms-office.chartstyle+xml"/>
  <Override PartName="/word/charts/style30.xml" ContentType="application/vnd.ms-office.chartstyle+xml"/>
  <Override PartName="/word/charts/style31.xml" ContentType="application/vnd.ms-office.chartstyle+xml"/>
  <Override PartName="/word/charts/style32.xml" ContentType="application/vnd.ms-office.chartstyle+xml"/>
  <Override PartName="/word/charts/style33.xml" ContentType="application/vnd.ms-office.chartstyle+xml"/>
  <Override PartName="/word/charts/style34.xml" ContentType="application/vnd.ms-office.chartstyle+xml"/>
  <Override PartName="/word/charts/style35.xml" ContentType="application/vnd.ms-office.chartstyle+xml"/>
  <Override PartName="/word/charts/style36.xml" ContentType="application/vnd.ms-office.chartstyle+xml"/>
  <Override PartName="/word/charts/style37.xml" ContentType="application/vnd.ms-office.chartstyle+xml"/>
  <Override PartName="/word/charts/style38.xml" ContentType="application/vnd.ms-office.chartstyle+xml"/>
  <Override PartName="/word/charts/style39.xml" ContentType="application/vnd.ms-office.chartstyle+xml"/>
  <Override PartName="/word/charts/style4.xml" ContentType="application/vnd.ms-office.chartstyle+xml"/>
  <Override PartName="/word/charts/style40.xml" ContentType="application/vnd.ms-office.chartstyle+xml"/>
  <Override PartName="/word/charts/style41.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color w:val="000000"/>
        </w:rPr>
      </w:pPr>
      <w:r>
        <w:drawing>
          <wp:anchor distT="0" distB="0" distL="114300" distR="114300" simplePos="0" relativeHeight="251660288" behindDoc="1" locked="0" layoutInCell="1" allowOverlap="1">
            <wp:simplePos x="0" y="0"/>
            <wp:positionH relativeFrom="column">
              <wp:posOffset>-1191260</wp:posOffset>
            </wp:positionH>
            <wp:positionV relativeFrom="paragraph">
              <wp:posOffset>-955675</wp:posOffset>
            </wp:positionV>
            <wp:extent cx="7632065" cy="5088890"/>
            <wp:effectExtent l="0" t="0" r="0" b="0"/>
            <wp:wrapNone/>
            <wp:docPr id="1" name="图片 1" descr="/data/weboffice/tmp/webword_3801357427/upload_post_object_v2_16590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ata/weboffice/tmp/webword_3801357427/upload_post_object_v2_165901727"/>
                    <pic:cNvPicPr>
                      <a:picLocks noChangeAspect="1"/>
                    </pic:cNvPicPr>
                  </pic:nvPicPr>
                  <pic:blipFill>
                    <a:blip r:embed="rId14"/>
                    <a:srcRect/>
                    <a:stretch>
                      <a:fillRect/>
                    </a:stretch>
                  </pic:blipFill>
                  <pic:spPr>
                    <a:xfrm>
                      <a:off x="0" y="0"/>
                      <a:ext cx="7632104" cy="5088717"/>
                    </a:xfrm>
                    <a:prstGeom prst="rect">
                      <a:avLst/>
                    </a:prstGeom>
                    <a:effectLst>
                      <a:softEdge rad="182948"/>
                    </a:effectLst>
                  </pic:spPr>
                </pic:pic>
              </a:graphicData>
            </a:graphic>
          </wp:anchor>
        </w:drawing>
      </w:r>
    </w:p>
    <w:p>
      <w:pPr>
        <w:ind w:firstLine="0" w:firstLineChars="0"/>
        <w:jc w:val="center"/>
        <w:rPr>
          <w:color w:val="000000"/>
        </w:rPr>
      </w:pPr>
    </w:p>
    <w:p>
      <w:pPr>
        <w:pStyle w:val="27"/>
      </w:pPr>
    </w:p>
    <w:p>
      <w:pPr>
        <w:pStyle w:val="7"/>
        <w:spacing w:line="300" w:lineRule="auto"/>
        <w:rPr>
          <w:rFonts w:ascii="Times New Roman" w:hAnsi="Times New Roman" w:cs="Times New Roman"/>
          <w:b/>
          <w:sz w:val="52"/>
          <w:szCs w:val="52"/>
        </w:rPr>
      </w:pPr>
    </w:p>
    <w:p>
      <w:pPr>
        <w:pStyle w:val="7"/>
        <w:spacing w:line="300" w:lineRule="auto"/>
        <w:rPr>
          <w:rFonts w:ascii="Times New Roman" w:hAnsi="Times New Roman" w:eastAsia="黑体" w:cs="Times New Roman"/>
          <w:b/>
          <w:sz w:val="52"/>
          <w:szCs w:val="52"/>
        </w:rPr>
      </w:pPr>
    </w:p>
    <w:p>
      <w:pPr>
        <w:pStyle w:val="7"/>
        <w:spacing w:line="300" w:lineRule="auto"/>
        <w:rPr>
          <w:rFonts w:ascii="Times New Roman" w:hAnsi="Times New Roman" w:eastAsia="黑体" w:cs="Times New Roman"/>
          <w:b/>
          <w:color w:val="000000"/>
          <w:sz w:val="52"/>
          <w:szCs w:val="52"/>
        </w:rPr>
      </w:pPr>
    </w:p>
    <w:p>
      <w:pPr>
        <w:pStyle w:val="7"/>
        <w:spacing w:line="300" w:lineRule="auto"/>
        <w:rPr>
          <w:rFonts w:ascii="Times New Roman" w:hAnsi="Times New Roman" w:cs="Times New Roman"/>
          <w:b/>
          <w:color w:val="000000"/>
          <w:sz w:val="52"/>
          <w:szCs w:val="52"/>
        </w:rPr>
      </w:pPr>
    </w:p>
    <w:p>
      <w:pPr>
        <w:pStyle w:val="7"/>
        <w:spacing w:line="300" w:lineRule="auto"/>
        <w:rPr>
          <w:rFonts w:ascii="Times New Roman" w:hAnsi="Times New Roman" w:cs="Times New Roman"/>
          <w:b/>
          <w:color w:val="000000"/>
          <w:sz w:val="52"/>
          <w:szCs w:val="52"/>
        </w:rPr>
      </w:pPr>
    </w:p>
    <w:p>
      <w:pPr>
        <w:pStyle w:val="7"/>
        <w:spacing w:line="300" w:lineRule="auto"/>
        <w:rPr>
          <w:rFonts w:ascii="Times New Roman" w:hAnsi="Times New Roman" w:cs="Times New Roman"/>
          <w:b/>
          <w:color w:val="000000"/>
          <w:sz w:val="52"/>
          <w:szCs w:val="52"/>
        </w:rPr>
      </w:pPr>
    </w:p>
    <w:p>
      <w:pPr>
        <w:pStyle w:val="7"/>
        <w:spacing w:line="300" w:lineRule="auto"/>
        <w:rPr>
          <w:rFonts w:ascii="Times New Roman" w:hAnsi="Times New Roman" w:cs="Times New Roman"/>
          <w:b/>
          <w:color w:val="000000"/>
          <w:sz w:val="52"/>
          <w:szCs w:val="52"/>
        </w:rPr>
      </w:pPr>
    </w:p>
    <w:p>
      <w:pPr>
        <w:pStyle w:val="7"/>
        <w:spacing w:line="300" w:lineRule="auto"/>
        <w:rPr>
          <w:rFonts w:ascii="Times New Roman" w:hAnsi="Times New Roman" w:cs="Times New Roman"/>
          <w:b/>
          <w:color w:val="000000"/>
          <w:sz w:val="52"/>
          <w:szCs w:val="52"/>
        </w:rPr>
      </w:pPr>
    </w:p>
    <w:p>
      <w:pPr>
        <w:pStyle w:val="7"/>
        <w:spacing w:line="300" w:lineRule="auto"/>
        <w:rPr>
          <w:rFonts w:ascii="Times New Roman" w:hAnsi="Times New Roman" w:cs="Times New Roman"/>
          <w:b/>
          <w:color w:val="000000"/>
          <w:sz w:val="52"/>
          <w:szCs w:val="52"/>
        </w:rPr>
      </w:pPr>
    </w:p>
    <w:p>
      <w:pPr>
        <w:pStyle w:val="7"/>
        <w:spacing w:line="300" w:lineRule="auto"/>
        <w:rPr>
          <w:rFonts w:ascii="方正小标宋简体" w:hAnsi="Times New Roman" w:eastAsia="方正小标宋简体" w:cs="Times New Roman"/>
          <w:b/>
          <w:color w:val="4F6228" w:themeColor="accent3" w:themeShade="80"/>
          <w:sz w:val="72"/>
          <w:szCs w:val="72"/>
        </w:rPr>
      </w:pPr>
      <w:r>
        <w:rPr>
          <w:rFonts w:hint="eastAsia" w:ascii="方正小标宋简体" w:hAnsi="Times New Roman" w:eastAsia="方正小标宋简体" w:cs="Times New Roman"/>
          <w:b/>
          <w:color w:val="4F6228" w:themeColor="accent3" w:themeShade="80"/>
          <w:sz w:val="72"/>
          <w:szCs w:val="72"/>
        </w:rPr>
        <w:t>2023年佛山市电动汽车</w:t>
      </w:r>
    </w:p>
    <w:p>
      <w:pPr>
        <w:pStyle w:val="7"/>
        <w:spacing w:line="300" w:lineRule="auto"/>
        <w:rPr>
          <w:rFonts w:ascii="方正小标宋简体" w:hAnsi="Times New Roman" w:eastAsia="方正小标宋简体" w:cs="Times New Roman"/>
          <w:b/>
          <w:color w:val="4F6228" w:themeColor="accent3" w:themeShade="80"/>
          <w:sz w:val="52"/>
          <w:szCs w:val="52"/>
        </w:rPr>
      </w:pPr>
      <w:r>
        <w:rPr>
          <w:rFonts w:hint="eastAsia" w:ascii="方正小标宋简体" w:hAnsi="Times New Roman" w:eastAsia="方正小标宋简体" w:cs="Times New Roman"/>
          <w:b/>
          <w:color w:val="4F6228" w:themeColor="accent3" w:themeShade="80"/>
          <w:sz w:val="72"/>
          <w:szCs w:val="72"/>
        </w:rPr>
        <w:t>充电服务调查报告</w:t>
      </w:r>
    </w:p>
    <w:p>
      <w:pPr>
        <w:pStyle w:val="7"/>
        <w:spacing w:line="300" w:lineRule="auto"/>
        <w:rPr>
          <w:rFonts w:ascii="Times New Roman" w:hAnsi="Times New Roman" w:cs="Times New Roman"/>
          <w:b/>
          <w:color w:val="000000"/>
          <w:sz w:val="52"/>
          <w:szCs w:val="52"/>
        </w:rPr>
      </w:pPr>
    </w:p>
    <w:p>
      <w:pPr>
        <w:pStyle w:val="7"/>
        <w:spacing w:line="300" w:lineRule="auto"/>
        <w:rPr>
          <w:rFonts w:ascii="Times New Roman" w:hAnsi="Times New Roman" w:cs="Times New Roman"/>
          <w:b/>
          <w:color w:val="000000"/>
          <w:sz w:val="52"/>
          <w:szCs w:val="52"/>
        </w:rPr>
      </w:pPr>
    </w:p>
    <w:p>
      <w:pPr>
        <w:pStyle w:val="7"/>
        <w:spacing w:line="300" w:lineRule="auto"/>
        <w:rPr>
          <w:rFonts w:ascii="Times New Roman" w:hAnsi="Times New Roman" w:cs="Times New Roman"/>
          <w:b/>
          <w:color w:val="000000"/>
          <w:sz w:val="52"/>
          <w:szCs w:val="52"/>
        </w:rPr>
      </w:pPr>
    </w:p>
    <w:p>
      <w:pPr>
        <w:pStyle w:val="7"/>
        <w:spacing w:line="300" w:lineRule="auto"/>
        <w:rPr>
          <w:rFonts w:ascii="Times New Roman" w:hAnsi="Times New Roman" w:cs="Times New Roman"/>
          <w:b/>
          <w:color w:val="000000"/>
          <w:sz w:val="52"/>
          <w:szCs w:val="52"/>
        </w:rPr>
      </w:pPr>
    </w:p>
    <w:p>
      <w:pPr>
        <w:ind w:firstLine="0" w:firstLineChars="0"/>
        <w:jc w:val="center"/>
        <w:rPr>
          <w:rFonts w:ascii="黑体" w:hAnsi="黑体" w:eastAsia="黑体" w:cs="黑体"/>
          <w:b/>
          <w:bCs/>
          <w:sz w:val="44"/>
          <w:szCs w:val="32"/>
        </w:rPr>
      </w:pPr>
      <w:r>
        <w:rPr>
          <w:rFonts w:eastAsia="黑体" w:cs="Times New Roman"/>
          <w:b/>
          <w:bCs/>
          <w:sz w:val="44"/>
          <w:szCs w:val="32"/>
        </w:rPr>
        <w:t>202</w:t>
      </w:r>
      <w:r>
        <w:rPr>
          <w:rFonts w:hint="eastAsia" w:eastAsia="黑体" w:cs="Times New Roman"/>
          <w:b/>
          <w:bCs/>
          <w:sz w:val="44"/>
          <w:szCs w:val="32"/>
          <w:lang w:val="en-US" w:eastAsia="zh-CN"/>
        </w:rPr>
        <w:t>4</w:t>
      </w:r>
      <w:r>
        <w:rPr>
          <w:rFonts w:eastAsia="黑体" w:cs="Times New Roman"/>
          <w:b/>
          <w:bCs/>
          <w:sz w:val="44"/>
          <w:szCs w:val="32"/>
        </w:rPr>
        <w:t>年</w:t>
      </w:r>
      <w:r>
        <w:rPr>
          <w:rFonts w:hint="eastAsia" w:eastAsia="黑体" w:cs="Times New Roman"/>
          <w:b/>
          <w:bCs/>
          <w:sz w:val="44"/>
          <w:szCs w:val="32"/>
          <w:lang w:val="en-US" w:eastAsia="zh-CN"/>
        </w:rPr>
        <w:t>3</w:t>
      </w:r>
      <w:r>
        <w:rPr>
          <w:rFonts w:eastAsia="黑体" w:cs="Times New Roman"/>
          <w:b/>
          <w:bCs/>
          <w:sz w:val="44"/>
          <w:szCs w:val="32"/>
        </w:rPr>
        <w:t>月</w:t>
      </w:r>
    </w:p>
    <w:p>
      <w:pPr>
        <w:ind w:firstLine="0" w:firstLineChars="0"/>
        <w:jc w:val="center"/>
        <w:rPr>
          <w:rFonts w:eastAsia="黑体"/>
        </w:rPr>
      </w:pPr>
    </w:p>
    <w:p>
      <w:pPr>
        <w:pStyle w:val="2"/>
        <w:spacing w:after="156"/>
        <w:ind w:firstLine="643"/>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sdt>
      <w:sdtPr>
        <w:rPr>
          <w:lang w:val="zh-CN"/>
        </w:rPr>
        <w:id w:val="-1"/>
        <w:docPartObj>
          <w:docPartGallery w:val="Table of Contents"/>
          <w:docPartUnique/>
        </w:docPartObj>
      </w:sdtPr>
      <w:sdtEndPr>
        <w:rPr>
          <w:rFonts w:ascii="仿宋" w:hAnsi="仿宋"/>
          <w:b/>
          <w:bCs/>
          <w:szCs w:val="32"/>
          <w:lang w:val="zh-CN"/>
        </w:rPr>
      </w:sdtEndPr>
      <w:sdtContent>
        <w:p>
          <w:pPr>
            <w:spacing w:line="240" w:lineRule="auto"/>
            <w:ind w:firstLine="0" w:firstLineChars="0"/>
            <w:jc w:val="center"/>
            <w:rPr>
              <w:rFonts w:ascii="仿宋" w:hAnsi="仿宋"/>
              <w:b/>
              <w:bCs/>
              <w:szCs w:val="32"/>
            </w:rPr>
          </w:pPr>
          <w:r>
            <w:rPr>
              <w:rFonts w:hint="eastAsia" w:ascii="仿宋" w:hAnsi="仿宋" w:cs="Times New Roman"/>
              <w:b/>
              <w:bCs/>
              <w:szCs w:val="32"/>
            </w:rPr>
            <w:t>目  录</w:t>
          </w:r>
        </w:p>
        <w:p>
          <w:pPr>
            <w:pStyle w:val="10"/>
            <w:tabs>
              <w:tab w:val="right" w:leader="dot" w:pos="8296"/>
            </w:tabs>
            <w:ind w:firstLine="0" w:firstLineChars="0"/>
            <w:rPr>
              <w:rFonts w:ascii="仿宋" w:hAnsi="仿宋"/>
              <w:sz w:val="21"/>
              <w14:ligatures w14:val="standardContextual"/>
            </w:rPr>
          </w:pPr>
          <w:r>
            <w:rPr>
              <w:rFonts w:hint="eastAsia" w:ascii="仿宋" w:hAnsi="仿宋"/>
              <w:szCs w:val="32"/>
            </w:rPr>
            <w:fldChar w:fldCharType="begin"/>
          </w:r>
          <w:r>
            <w:rPr>
              <w:rFonts w:hint="eastAsia" w:ascii="仿宋" w:hAnsi="仿宋"/>
              <w:szCs w:val="32"/>
            </w:rPr>
            <w:instrText xml:space="preserve"> TOC \o "1-3" \h \z \u </w:instrText>
          </w:r>
          <w:r>
            <w:rPr>
              <w:rFonts w:hint="eastAsia" w:ascii="仿宋" w:hAnsi="仿宋"/>
              <w:szCs w:val="32"/>
            </w:rPr>
            <w:fldChar w:fldCharType="separate"/>
          </w:r>
          <w:r>
            <w:fldChar w:fldCharType="begin"/>
          </w:r>
          <w:r>
            <w:instrText xml:space="preserve"> HYPERLINK \l "_Toc157760673" </w:instrText>
          </w:r>
          <w:r>
            <w:fldChar w:fldCharType="separate"/>
          </w:r>
          <w:r>
            <w:rPr>
              <w:rStyle w:val="17"/>
              <w:rFonts w:ascii="仿宋" w:hAnsi="仿宋"/>
            </w:rPr>
            <w:t>第一部分：调查概况</w:t>
          </w:r>
          <w:r>
            <w:rPr>
              <w:rFonts w:ascii="仿宋" w:hAnsi="仿宋"/>
            </w:rPr>
            <w:tab/>
          </w:r>
          <w:r>
            <w:rPr>
              <w:rFonts w:ascii="仿宋" w:hAnsi="仿宋"/>
            </w:rPr>
            <w:fldChar w:fldCharType="begin"/>
          </w:r>
          <w:r>
            <w:rPr>
              <w:rFonts w:ascii="仿宋" w:hAnsi="仿宋"/>
            </w:rPr>
            <w:instrText xml:space="preserve"> PAGEREF _Toc157760673 \h </w:instrText>
          </w:r>
          <w:r>
            <w:rPr>
              <w:rFonts w:ascii="仿宋" w:hAnsi="仿宋"/>
            </w:rPr>
            <w:fldChar w:fldCharType="separate"/>
          </w:r>
          <w:r>
            <w:rPr>
              <w:rFonts w:ascii="仿宋" w:hAnsi="仿宋"/>
            </w:rPr>
            <w:t>1</w:t>
          </w:r>
          <w:r>
            <w:rPr>
              <w:rFonts w:ascii="仿宋" w:hAnsi="仿宋"/>
            </w:rPr>
            <w:fldChar w:fldCharType="end"/>
          </w:r>
          <w:r>
            <w:rPr>
              <w:rFonts w:ascii="仿宋" w:hAnsi="仿宋"/>
            </w:rPr>
            <w:fldChar w:fldCharType="end"/>
          </w:r>
        </w:p>
        <w:p>
          <w:pPr>
            <w:pStyle w:val="12"/>
            <w:tabs>
              <w:tab w:val="right" w:leader="dot" w:pos="8296"/>
            </w:tabs>
            <w:ind w:left="640" w:firstLine="0" w:firstLineChars="0"/>
            <w:rPr>
              <w:rFonts w:ascii="仿宋" w:hAnsi="仿宋"/>
              <w:sz w:val="21"/>
              <w14:ligatures w14:val="standardContextual"/>
            </w:rPr>
          </w:pPr>
          <w:r>
            <w:fldChar w:fldCharType="begin"/>
          </w:r>
          <w:r>
            <w:instrText xml:space="preserve"> HYPERLINK \l "_Toc157760674" </w:instrText>
          </w:r>
          <w:r>
            <w:fldChar w:fldCharType="separate"/>
          </w:r>
          <w:r>
            <w:rPr>
              <w:rStyle w:val="17"/>
              <w:rFonts w:ascii="仿宋" w:hAnsi="仿宋" w:cs="楷体_GB2312"/>
            </w:rPr>
            <w:t>一、调查背景</w:t>
          </w:r>
          <w:r>
            <w:rPr>
              <w:rFonts w:ascii="仿宋" w:hAnsi="仿宋"/>
            </w:rPr>
            <w:tab/>
          </w:r>
          <w:r>
            <w:rPr>
              <w:rFonts w:ascii="仿宋" w:hAnsi="仿宋"/>
            </w:rPr>
            <w:fldChar w:fldCharType="begin"/>
          </w:r>
          <w:r>
            <w:rPr>
              <w:rFonts w:ascii="仿宋" w:hAnsi="仿宋"/>
            </w:rPr>
            <w:instrText xml:space="preserve"> PAGEREF _Toc157760674 \h </w:instrText>
          </w:r>
          <w:r>
            <w:rPr>
              <w:rFonts w:ascii="仿宋" w:hAnsi="仿宋"/>
            </w:rPr>
            <w:fldChar w:fldCharType="separate"/>
          </w:r>
          <w:r>
            <w:rPr>
              <w:rFonts w:ascii="仿宋" w:hAnsi="仿宋"/>
            </w:rPr>
            <w:t>1</w:t>
          </w:r>
          <w:r>
            <w:rPr>
              <w:rFonts w:ascii="仿宋" w:hAnsi="仿宋"/>
            </w:rPr>
            <w:fldChar w:fldCharType="end"/>
          </w:r>
          <w:r>
            <w:rPr>
              <w:rFonts w:ascii="仿宋" w:hAnsi="仿宋"/>
            </w:rPr>
            <w:fldChar w:fldCharType="end"/>
          </w:r>
        </w:p>
        <w:p>
          <w:pPr>
            <w:pStyle w:val="12"/>
            <w:tabs>
              <w:tab w:val="right" w:leader="dot" w:pos="8296"/>
            </w:tabs>
            <w:ind w:left="640" w:firstLine="0" w:firstLineChars="0"/>
            <w:rPr>
              <w:rFonts w:ascii="仿宋" w:hAnsi="仿宋"/>
              <w:sz w:val="21"/>
              <w14:ligatures w14:val="standardContextual"/>
            </w:rPr>
          </w:pPr>
          <w:r>
            <w:fldChar w:fldCharType="begin"/>
          </w:r>
          <w:r>
            <w:instrText xml:space="preserve"> HYPERLINK \l "_Toc157760675" </w:instrText>
          </w:r>
          <w:r>
            <w:fldChar w:fldCharType="separate"/>
          </w:r>
          <w:r>
            <w:rPr>
              <w:rStyle w:val="17"/>
              <w:rFonts w:ascii="仿宋" w:hAnsi="仿宋" w:cs="Times New Roman"/>
            </w:rPr>
            <w:t>二、调查方式及样本回收情况</w:t>
          </w:r>
          <w:r>
            <w:rPr>
              <w:rFonts w:ascii="仿宋" w:hAnsi="仿宋"/>
            </w:rPr>
            <w:tab/>
          </w:r>
          <w:r>
            <w:rPr>
              <w:rFonts w:ascii="仿宋" w:hAnsi="仿宋"/>
            </w:rPr>
            <w:fldChar w:fldCharType="begin"/>
          </w:r>
          <w:r>
            <w:rPr>
              <w:rFonts w:ascii="仿宋" w:hAnsi="仿宋"/>
            </w:rPr>
            <w:instrText xml:space="preserve"> PAGEREF _Toc157760675 \h </w:instrText>
          </w:r>
          <w:r>
            <w:rPr>
              <w:rFonts w:ascii="仿宋" w:hAnsi="仿宋"/>
            </w:rPr>
            <w:fldChar w:fldCharType="separate"/>
          </w:r>
          <w:r>
            <w:rPr>
              <w:rFonts w:ascii="仿宋" w:hAnsi="仿宋"/>
            </w:rPr>
            <w:t>4</w:t>
          </w:r>
          <w:r>
            <w:rPr>
              <w:rFonts w:ascii="仿宋" w:hAnsi="仿宋"/>
            </w:rPr>
            <w:fldChar w:fldCharType="end"/>
          </w:r>
          <w:r>
            <w:rPr>
              <w:rFonts w:ascii="仿宋" w:hAnsi="仿宋"/>
            </w:rPr>
            <w:fldChar w:fldCharType="end"/>
          </w:r>
        </w:p>
        <w:p>
          <w:pPr>
            <w:pStyle w:val="6"/>
            <w:tabs>
              <w:tab w:val="right" w:leader="dot" w:pos="8296"/>
            </w:tabs>
            <w:ind w:left="1280" w:firstLine="0" w:firstLineChars="0"/>
            <w:rPr>
              <w:rFonts w:ascii="仿宋" w:hAnsi="仿宋"/>
              <w:sz w:val="21"/>
              <w14:ligatures w14:val="standardContextual"/>
            </w:rPr>
          </w:pPr>
          <w:r>
            <w:fldChar w:fldCharType="begin"/>
          </w:r>
          <w:r>
            <w:instrText xml:space="preserve"> HYPERLINK \l "_Toc157760676" </w:instrText>
          </w:r>
          <w:r>
            <w:fldChar w:fldCharType="separate"/>
          </w:r>
          <w:r>
            <w:rPr>
              <w:rStyle w:val="17"/>
              <w:rFonts w:ascii="仿宋" w:hAnsi="仿宋" w:cs="Times New Roman"/>
            </w:rPr>
            <w:t>（一）在线问卷调查</w:t>
          </w:r>
          <w:r>
            <w:rPr>
              <w:rFonts w:ascii="仿宋" w:hAnsi="仿宋"/>
            </w:rPr>
            <w:tab/>
          </w:r>
          <w:r>
            <w:rPr>
              <w:rFonts w:ascii="仿宋" w:hAnsi="仿宋"/>
            </w:rPr>
            <w:fldChar w:fldCharType="begin"/>
          </w:r>
          <w:r>
            <w:rPr>
              <w:rFonts w:ascii="仿宋" w:hAnsi="仿宋"/>
            </w:rPr>
            <w:instrText xml:space="preserve"> PAGEREF _Toc157760676 \h </w:instrText>
          </w:r>
          <w:r>
            <w:rPr>
              <w:rFonts w:ascii="仿宋" w:hAnsi="仿宋"/>
            </w:rPr>
            <w:fldChar w:fldCharType="separate"/>
          </w:r>
          <w:r>
            <w:rPr>
              <w:rFonts w:ascii="仿宋" w:hAnsi="仿宋"/>
            </w:rPr>
            <w:t>4</w:t>
          </w:r>
          <w:r>
            <w:rPr>
              <w:rFonts w:ascii="仿宋" w:hAnsi="仿宋"/>
            </w:rPr>
            <w:fldChar w:fldCharType="end"/>
          </w:r>
          <w:r>
            <w:rPr>
              <w:rFonts w:ascii="仿宋" w:hAnsi="仿宋"/>
            </w:rPr>
            <w:fldChar w:fldCharType="end"/>
          </w:r>
        </w:p>
        <w:p>
          <w:pPr>
            <w:pStyle w:val="6"/>
            <w:tabs>
              <w:tab w:val="right" w:leader="dot" w:pos="8296"/>
            </w:tabs>
            <w:ind w:left="1280" w:firstLine="0" w:firstLineChars="0"/>
            <w:rPr>
              <w:rFonts w:ascii="仿宋" w:hAnsi="仿宋"/>
              <w:sz w:val="21"/>
              <w14:ligatures w14:val="standardContextual"/>
            </w:rPr>
          </w:pPr>
          <w:r>
            <w:fldChar w:fldCharType="begin"/>
          </w:r>
          <w:r>
            <w:instrText xml:space="preserve"> HYPERLINK \l "_Toc157760677" </w:instrText>
          </w:r>
          <w:r>
            <w:fldChar w:fldCharType="separate"/>
          </w:r>
          <w:r>
            <w:rPr>
              <w:rStyle w:val="17"/>
              <w:rFonts w:ascii="仿宋" w:hAnsi="仿宋" w:cs="Times New Roman"/>
            </w:rPr>
            <w:t>（二）拦截调查</w:t>
          </w:r>
          <w:r>
            <w:rPr>
              <w:rFonts w:ascii="仿宋" w:hAnsi="仿宋"/>
            </w:rPr>
            <w:tab/>
          </w:r>
          <w:r>
            <w:rPr>
              <w:rFonts w:ascii="仿宋" w:hAnsi="仿宋"/>
            </w:rPr>
            <w:fldChar w:fldCharType="begin"/>
          </w:r>
          <w:r>
            <w:rPr>
              <w:rFonts w:ascii="仿宋" w:hAnsi="仿宋"/>
            </w:rPr>
            <w:instrText xml:space="preserve"> PAGEREF _Toc157760677 \h </w:instrText>
          </w:r>
          <w:r>
            <w:rPr>
              <w:rFonts w:ascii="仿宋" w:hAnsi="仿宋"/>
            </w:rPr>
            <w:fldChar w:fldCharType="separate"/>
          </w:r>
          <w:r>
            <w:rPr>
              <w:rFonts w:ascii="仿宋" w:hAnsi="仿宋"/>
            </w:rPr>
            <w:t>4</w:t>
          </w:r>
          <w:r>
            <w:rPr>
              <w:rFonts w:ascii="仿宋" w:hAnsi="仿宋"/>
            </w:rPr>
            <w:fldChar w:fldCharType="end"/>
          </w:r>
          <w:r>
            <w:rPr>
              <w:rFonts w:ascii="仿宋" w:hAnsi="仿宋"/>
            </w:rPr>
            <w:fldChar w:fldCharType="end"/>
          </w:r>
        </w:p>
        <w:p>
          <w:pPr>
            <w:pStyle w:val="6"/>
            <w:tabs>
              <w:tab w:val="right" w:leader="dot" w:pos="8296"/>
            </w:tabs>
            <w:ind w:left="1280" w:firstLine="0" w:firstLineChars="0"/>
            <w:rPr>
              <w:rFonts w:ascii="仿宋" w:hAnsi="仿宋"/>
              <w:sz w:val="21"/>
              <w14:ligatures w14:val="standardContextual"/>
            </w:rPr>
          </w:pPr>
          <w:r>
            <w:fldChar w:fldCharType="begin"/>
          </w:r>
          <w:r>
            <w:instrText xml:space="preserve"> HYPERLINK \l "_Toc157760678" </w:instrText>
          </w:r>
          <w:r>
            <w:fldChar w:fldCharType="separate"/>
          </w:r>
          <w:r>
            <w:rPr>
              <w:rStyle w:val="17"/>
              <w:rFonts w:ascii="仿宋" w:hAnsi="仿宋" w:cs="仿宋_GB2312"/>
            </w:rPr>
            <w:t>（三）体验式调查</w:t>
          </w:r>
          <w:r>
            <w:rPr>
              <w:rFonts w:ascii="仿宋" w:hAnsi="仿宋"/>
            </w:rPr>
            <w:tab/>
          </w:r>
          <w:r>
            <w:rPr>
              <w:rFonts w:ascii="仿宋" w:hAnsi="仿宋"/>
            </w:rPr>
            <w:fldChar w:fldCharType="begin"/>
          </w:r>
          <w:r>
            <w:rPr>
              <w:rFonts w:ascii="仿宋" w:hAnsi="仿宋"/>
            </w:rPr>
            <w:instrText xml:space="preserve"> PAGEREF _Toc157760678 \h </w:instrText>
          </w:r>
          <w:r>
            <w:rPr>
              <w:rFonts w:ascii="仿宋" w:hAnsi="仿宋"/>
            </w:rPr>
            <w:fldChar w:fldCharType="separate"/>
          </w:r>
          <w:r>
            <w:rPr>
              <w:rFonts w:ascii="仿宋" w:hAnsi="仿宋"/>
            </w:rPr>
            <w:t>4</w:t>
          </w:r>
          <w:r>
            <w:rPr>
              <w:rFonts w:ascii="仿宋" w:hAnsi="仿宋"/>
            </w:rPr>
            <w:fldChar w:fldCharType="end"/>
          </w:r>
          <w:r>
            <w:rPr>
              <w:rFonts w:ascii="仿宋" w:hAnsi="仿宋"/>
            </w:rPr>
            <w:fldChar w:fldCharType="end"/>
          </w:r>
        </w:p>
        <w:p>
          <w:pPr>
            <w:pStyle w:val="10"/>
            <w:tabs>
              <w:tab w:val="right" w:leader="dot" w:pos="8296"/>
            </w:tabs>
            <w:ind w:firstLine="0" w:firstLineChars="0"/>
            <w:rPr>
              <w:rFonts w:ascii="仿宋" w:hAnsi="仿宋"/>
              <w:sz w:val="21"/>
              <w14:ligatures w14:val="standardContextual"/>
            </w:rPr>
          </w:pPr>
          <w:r>
            <w:fldChar w:fldCharType="begin"/>
          </w:r>
          <w:r>
            <w:instrText xml:space="preserve"> HYPERLINK \l "_Toc157760679" </w:instrText>
          </w:r>
          <w:r>
            <w:fldChar w:fldCharType="separate"/>
          </w:r>
          <w:r>
            <w:rPr>
              <w:rStyle w:val="17"/>
              <w:rFonts w:ascii="仿宋" w:hAnsi="仿宋"/>
            </w:rPr>
            <w:t>第二部分：问卷调查数据分析</w:t>
          </w:r>
          <w:r>
            <w:rPr>
              <w:rFonts w:ascii="仿宋" w:hAnsi="仿宋"/>
            </w:rPr>
            <w:tab/>
          </w:r>
          <w:r>
            <w:rPr>
              <w:rFonts w:ascii="仿宋" w:hAnsi="仿宋"/>
            </w:rPr>
            <w:fldChar w:fldCharType="begin"/>
          </w:r>
          <w:r>
            <w:rPr>
              <w:rFonts w:ascii="仿宋" w:hAnsi="仿宋"/>
            </w:rPr>
            <w:instrText xml:space="preserve"> PAGEREF _Toc157760679 \h </w:instrText>
          </w:r>
          <w:r>
            <w:rPr>
              <w:rFonts w:ascii="仿宋" w:hAnsi="仿宋"/>
            </w:rPr>
            <w:fldChar w:fldCharType="separate"/>
          </w:r>
          <w:r>
            <w:rPr>
              <w:rFonts w:ascii="仿宋" w:hAnsi="仿宋"/>
            </w:rPr>
            <w:t>6</w:t>
          </w:r>
          <w:r>
            <w:rPr>
              <w:rFonts w:ascii="仿宋" w:hAnsi="仿宋"/>
            </w:rPr>
            <w:fldChar w:fldCharType="end"/>
          </w:r>
          <w:r>
            <w:rPr>
              <w:rFonts w:ascii="仿宋" w:hAnsi="仿宋"/>
            </w:rPr>
            <w:fldChar w:fldCharType="end"/>
          </w:r>
        </w:p>
        <w:p>
          <w:pPr>
            <w:pStyle w:val="12"/>
            <w:tabs>
              <w:tab w:val="right" w:leader="dot" w:pos="8296"/>
            </w:tabs>
            <w:ind w:left="640" w:firstLine="0" w:firstLineChars="0"/>
            <w:rPr>
              <w:rFonts w:ascii="仿宋" w:hAnsi="仿宋"/>
              <w:sz w:val="21"/>
              <w14:ligatures w14:val="standardContextual"/>
            </w:rPr>
          </w:pPr>
          <w:r>
            <w:fldChar w:fldCharType="begin"/>
          </w:r>
          <w:r>
            <w:instrText xml:space="preserve"> HYPERLINK \l "_Toc157760680" </w:instrText>
          </w:r>
          <w:r>
            <w:fldChar w:fldCharType="separate"/>
          </w:r>
          <w:r>
            <w:rPr>
              <w:rStyle w:val="17"/>
              <w:rFonts w:ascii="仿宋" w:hAnsi="仿宋" w:cs="Times New Roman"/>
            </w:rPr>
            <w:t>一、受访者画像分析</w:t>
          </w:r>
          <w:r>
            <w:rPr>
              <w:rFonts w:ascii="仿宋" w:hAnsi="仿宋"/>
            </w:rPr>
            <w:tab/>
          </w:r>
          <w:r>
            <w:rPr>
              <w:rFonts w:ascii="仿宋" w:hAnsi="仿宋"/>
            </w:rPr>
            <w:fldChar w:fldCharType="begin"/>
          </w:r>
          <w:r>
            <w:rPr>
              <w:rFonts w:ascii="仿宋" w:hAnsi="仿宋"/>
            </w:rPr>
            <w:instrText xml:space="preserve"> PAGEREF _Toc157760680 \h </w:instrText>
          </w:r>
          <w:r>
            <w:rPr>
              <w:rFonts w:ascii="仿宋" w:hAnsi="仿宋"/>
            </w:rPr>
            <w:fldChar w:fldCharType="separate"/>
          </w:r>
          <w:r>
            <w:rPr>
              <w:rFonts w:ascii="仿宋" w:hAnsi="仿宋"/>
            </w:rPr>
            <w:t>6</w:t>
          </w:r>
          <w:r>
            <w:rPr>
              <w:rFonts w:ascii="仿宋" w:hAnsi="仿宋"/>
            </w:rPr>
            <w:fldChar w:fldCharType="end"/>
          </w:r>
          <w:r>
            <w:rPr>
              <w:rFonts w:ascii="仿宋" w:hAnsi="仿宋"/>
            </w:rPr>
            <w:fldChar w:fldCharType="end"/>
          </w:r>
        </w:p>
        <w:p>
          <w:pPr>
            <w:pStyle w:val="12"/>
            <w:tabs>
              <w:tab w:val="right" w:leader="dot" w:pos="8296"/>
            </w:tabs>
            <w:ind w:left="640" w:firstLine="0" w:firstLineChars="0"/>
            <w:rPr>
              <w:rFonts w:ascii="仿宋" w:hAnsi="仿宋"/>
              <w:sz w:val="21"/>
              <w14:ligatures w14:val="standardContextual"/>
            </w:rPr>
          </w:pPr>
          <w:r>
            <w:fldChar w:fldCharType="begin"/>
          </w:r>
          <w:r>
            <w:instrText xml:space="preserve"> HYPERLINK \l "_Toc157760681" </w:instrText>
          </w:r>
          <w:r>
            <w:fldChar w:fldCharType="separate"/>
          </w:r>
          <w:r>
            <w:rPr>
              <w:rStyle w:val="17"/>
              <w:rFonts w:ascii="仿宋" w:hAnsi="仿宋" w:cs="Times New Roman"/>
            </w:rPr>
            <w:t>二、电动汽车充电情况</w:t>
          </w:r>
          <w:r>
            <w:rPr>
              <w:rFonts w:ascii="仿宋" w:hAnsi="仿宋"/>
            </w:rPr>
            <w:tab/>
          </w:r>
          <w:r>
            <w:rPr>
              <w:rFonts w:ascii="仿宋" w:hAnsi="仿宋"/>
            </w:rPr>
            <w:fldChar w:fldCharType="begin"/>
          </w:r>
          <w:r>
            <w:rPr>
              <w:rFonts w:ascii="仿宋" w:hAnsi="仿宋"/>
            </w:rPr>
            <w:instrText xml:space="preserve"> PAGEREF _Toc157760681 \h </w:instrText>
          </w:r>
          <w:r>
            <w:rPr>
              <w:rFonts w:ascii="仿宋" w:hAnsi="仿宋"/>
            </w:rPr>
            <w:fldChar w:fldCharType="separate"/>
          </w:r>
          <w:r>
            <w:rPr>
              <w:rFonts w:ascii="仿宋" w:hAnsi="仿宋"/>
            </w:rPr>
            <w:t>8</w:t>
          </w:r>
          <w:r>
            <w:rPr>
              <w:rFonts w:ascii="仿宋" w:hAnsi="仿宋"/>
            </w:rPr>
            <w:fldChar w:fldCharType="end"/>
          </w:r>
          <w:r>
            <w:rPr>
              <w:rFonts w:ascii="仿宋" w:hAnsi="仿宋"/>
            </w:rPr>
            <w:fldChar w:fldCharType="end"/>
          </w:r>
        </w:p>
        <w:p>
          <w:pPr>
            <w:pStyle w:val="6"/>
            <w:tabs>
              <w:tab w:val="right" w:leader="dot" w:pos="8296"/>
            </w:tabs>
            <w:ind w:left="1280" w:firstLine="0" w:firstLineChars="0"/>
            <w:rPr>
              <w:rFonts w:ascii="仿宋" w:hAnsi="仿宋"/>
              <w:sz w:val="21"/>
              <w14:ligatures w14:val="standardContextual"/>
            </w:rPr>
          </w:pPr>
          <w:r>
            <w:fldChar w:fldCharType="begin"/>
          </w:r>
          <w:r>
            <w:instrText xml:space="preserve"> HYPERLINK \l "_Toc157760682" </w:instrText>
          </w:r>
          <w:r>
            <w:fldChar w:fldCharType="separate"/>
          </w:r>
          <w:r>
            <w:rPr>
              <w:rStyle w:val="17"/>
              <w:rFonts w:ascii="仿宋" w:hAnsi="仿宋" w:cs="Times New Roman"/>
            </w:rPr>
            <w:t>（一）充电到达时间：超六成的用户10分钟以内到达最近的充电站</w:t>
          </w:r>
          <w:r>
            <w:rPr>
              <w:rFonts w:ascii="仿宋" w:hAnsi="仿宋"/>
            </w:rPr>
            <w:tab/>
          </w:r>
          <w:r>
            <w:rPr>
              <w:rFonts w:ascii="仿宋" w:hAnsi="仿宋"/>
            </w:rPr>
            <w:fldChar w:fldCharType="begin"/>
          </w:r>
          <w:r>
            <w:rPr>
              <w:rFonts w:ascii="仿宋" w:hAnsi="仿宋"/>
            </w:rPr>
            <w:instrText xml:space="preserve"> PAGEREF _Toc157760682 \h </w:instrText>
          </w:r>
          <w:r>
            <w:rPr>
              <w:rFonts w:ascii="仿宋" w:hAnsi="仿宋"/>
            </w:rPr>
            <w:fldChar w:fldCharType="separate"/>
          </w:r>
          <w:r>
            <w:rPr>
              <w:rFonts w:ascii="仿宋" w:hAnsi="仿宋"/>
            </w:rPr>
            <w:t>8</w:t>
          </w:r>
          <w:r>
            <w:rPr>
              <w:rFonts w:ascii="仿宋" w:hAnsi="仿宋"/>
            </w:rPr>
            <w:fldChar w:fldCharType="end"/>
          </w:r>
          <w:r>
            <w:rPr>
              <w:rFonts w:ascii="仿宋" w:hAnsi="仿宋"/>
            </w:rPr>
            <w:fldChar w:fldCharType="end"/>
          </w:r>
        </w:p>
        <w:p>
          <w:pPr>
            <w:pStyle w:val="6"/>
            <w:tabs>
              <w:tab w:val="right" w:leader="dot" w:pos="8296"/>
            </w:tabs>
            <w:ind w:left="1280" w:firstLine="0" w:firstLineChars="0"/>
            <w:rPr>
              <w:rFonts w:ascii="仿宋" w:hAnsi="仿宋"/>
              <w:sz w:val="21"/>
              <w14:ligatures w14:val="standardContextual"/>
            </w:rPr>
          </w:pPr>
          <w:r>
            <w:fldChar w:fldCharType="begin"/>
          </w:r>
          <w:r>
            <w:instrText xml:space="preserve"> HYPERLINK \l "_Toc157760683" </w:instrText>
          </w:r>
          <w:r>
            <w:fldChar w:fldCharType="separate"/>
          </w:r>
          <w:r>
            <w:rPr>
              <w:rStyle w:val="17"/>
              <w:rFonts w:ascii="仿宋" w:hAnsi="仿宋" w:cs="Times New Roman"/>
            </w:rPr>
            <w:t>（二）充电频率：超八成用户每周充电3次以内</w:t>
          </w:r>
          <w:r>
            <w:rPr>
              <w:rFonts w:ascii="仿宋" w:hAnsi="仿宋"/>
            </w:rPr>
            <w:tab/>
          </w:r>
          <w:r>
            <w:rPr>
              <w:rFonts w:ascii="仿宋" w:hAnsi="仿宋"/>
            </w:rPr>
            <w:fldChar w:fldCharType="begin"/>
          </w:r>
          <w:r>
            <w:rPr>
              <w:rFonts w:ascii="仿宋" w:hAnsi="仿宋"/>
            </w:rPr>
            <w:instrText xml:space="preserve"> PAGEREF _Toc157760683 \h </w:instrText>
          </w:r>
          <w:r>
            <w:rPr>
              <w:rFonts w:ascii="仿宋" w:hAnsi="仿宋"/>
            </w:rPr>
            <w:fldChar w:fldCharType="separate"/>
          </w:r>
          <w:r>
            <w:rPr>
              <w:rFonts w:ascii="仿宋" w:hAnsi="仿宋"/>
            </w:rPr>
            <w:t>8</w:t>
          </w:r>
          <w:r>
            <w:rPr>
              <w:rFonts w:ascii="仿宋" w:hAnsi="仿宋"/>
            </w:rPr>
            <w:fldChar w:fldCharType="end"/>
          </w:r>
          <w:r>
            <w:rPr>
              <w:rFonts w:ascii="仿宋" w:hAnsi="仿宋"/>
            </w:rPr>
            <w:fldChar w:fldCharType="end"/>
          </w:r>
        </w:p>
        <w:p>
          <w:pPr>
            <w:pStyle w:val="6"/>
            <w:tabs>
              <w:tab w:val="right" w:leader="dot" w:pos="8296"/>
            </w:tabs>
            <w:ind w:left="1280" w:firstLine="0" w:firstLineChars="0"/>
            <w:rPr>
              <w:rFonts w:ascii="仿宋" w:hAnsi="仿宋"/>
              <w:sz w:val="21"/>
              <w14:ligatures w14:val="standardContextual"/>
            </w:rPr>
          </w:pPr>
          <w:r>
            <w:fldChar w:fldCharType="begin"/>
          </w:r>
          <w:r>
            <w:instrText xml:space="preserve"> HYPERLINK \l "_Toc157760684" </w:instrText>
          </w:r>
          <w:r>
            <w:fldChar w:fldCharType="separate"/>
          </w:r>
          <w:r>
            <w:rPr>
              <w:rStyle w:val="17"/>
              <w:rFonts w:ascii="仿宋" w:hAnsi="仿宋"/>
            </w:rPr>
            <w:t>（三）充电桩品牌：充电品牌众多，用户常用品牌选择多元化</w:t>
          </w:r>
          <w:r>
            <w:rPr>
              <w:rFonts w:ascii="仿宋" w:hAnsi="仿宋"/>
            </w:rPr>
            <w:tab/>
          </w:r>
          <w:r>
            <w:rPr>
              <w:rFonts w:ascii="仿宋" w:hAnsi="仿宋"/>
            </w:rPr>
            <w:fldChar w:fldCharType="begin"/>
          </w:r>
          <w:r>
            <w:rPr>
              <w:rFonts w:ascii="仿宋" w:hAnsi="仿宋"/>
            </w:rPr>
            <w:instrText xml:space="preserve"> PAGEREF _Toc157760684 \h </w:instrText>
          </w:r>
          <w:r>
            <w:rPr>
              <w:rFonts w:ascii="仿宋" w:hAnsi="仿宋"/>
            </w:rPr>
            <w:fldChar w:fldCharType="separate"/>
          </w:r>
          <w:r>
            <w:rPr>
              <w:rFonts w:ascii="仿宋" w:hAnsi="仿宋"/>
            </w:rPr>
            <w:t>9</w:t>
          </w:r>
          <w:r>
            <w:rPr>
              <w:rFonts w:ascii="仿宋" w:hAnsi="仿宋"/>
            </w:rPr>
            <w:fldChar w:fldCharType="end"/>
          </w:r>
          <w:r>
            <w:rPr>
              <w:rFonts w:ascii="仿宋" w:hAnsi="仿宋"/>
            </w:rPr>
            <w:fldChar w:fldCharType="end"/>
          </w:r>
        </w:p>
        <w:p>
          <w:pPr>
            <w:pStyle w:val="6"/>
            <w:tabs>
              <w:tab w:val="right" w:leader="dot" w:pos="8296"/>
            </w:tabs>
            <w:ind w:left="1280" w:firstLine="0" w:firstLineChars="0"/>
            <w:rPr>
              <w:rFonts w:ascii="仿宋" w:hAnsi="仿宋"/>
              <w:sz w:val="21"/>
              <w14:ligatures w14:val="standardContextual"/>
            </w:rPr>
          </w:pPr>
          <w:r>
            <w:fldChar w:fldCharType="begin"/>
          </w:r>
          <w:r>
            <w:instrText xml:space="preserve"> HYPERLINK \l "_Toc157760685" </w:instrText>
          </w:r>
          <w:r>
            <w:fldChar w:fldCharType="separate"/>
          </w:r>
          <w:r>
            <w:rPr>
              <w:rStyle w:val="17"/>
              <w:rFonts w:ascii="仿宋" w:hAnsi="仿宋" w:cs="Times New Roman"/>
            </w:rPr>
            <w:t>（四）充电场所：超七成用户选择家附近的充电桩</w:t>
          </w:r>
          <w:r>
            <w:rPr>
              <w:rFonts w:ascii="仿宋" w:hAnsi="仿宋"/>
            </w:rPr>
            <w:tab/>
          </w:r>
          <w:r>
            <w:rPr>
              <w:rFonts w:ascii="仿宋" w:hAnsi="仿宋"/>
            </w:rPr>
            <w:fldChar w:fldCharType="begin"/>
          </w:r>
          <w:r>
            <w:rPr>
              <w:rFonts w:ascii="仿宋" w:hAnsi="仿宋"/>
            </w:rPr>
            <w:instrText xml:space="preserve"> PAGEREF _Toc157760685 \h </w:instrText>
          </w:r>
          <w:r>
            <w:rPr>
              <w:rFonts w:ascii="仿宋" w:hAnsi="仿宋"/>
            </w:rPr>
            <w:fldChar w:fldCharType="separate"/>
          </w:r>
          <w:r>
            <w:rPr>
              <w:rFonts w:ascii="仿宋" w:hAnsi="仿宋"/>
            </w:rPr>
            <w:t>10</w:t>
          </w:r>
          <w:r>
            <w:rPr>
              <w:rFonts w:ascii="仿宋" w:hAnsi="仿宋"/>
            </w:rPr>
            <w:fldChar w:fldCharType="end"/>
          </w:r>
          <w:r>
            <w:rPr>
              <w:rFonts w:ascii="仿宋" w:hAnsi="仿宋"/>
            </w:rPr>
            <w:fldChar w:fldCharType="end"/>
          </w:r>
        </w:p>
        <w:p>
          <w:pPr>
            <w:pStyle w:val="6"/>
            <w:tabs>
              <w:tab w:val="right" w:leader="dot" w:pos="8296"/>
            </w:tabs>
            <w:ind w:left="1280" w:firstLine="0" w:firstLineChars="0"/>
            <w:rPr>
              <w:rFonts w:ascii="仿宋" w:hAnsi="仿宋"/>
              <w:sz w:val="21"/>
              <w14:ligatures w14:val="standardContextual"/>
            </w:rPr>
          </w:pPr>
          <w:r>
            <w:fldChar w:fldCharType="begin"/>
          </w:r>
          <w:r>
            <w:instrText xml:space="preserve"> HYPERLINK \l "_Toc157760686" </w:instrText>
          </w:r>
          <w:r>
            <w:fldChar w:fldCharType="separate"/>
          </w:r>
          <w:r>
            <w:rPr>
              <w:rStyle w:val="17"/>
              <w:rFonts w:ascii="仿宋" w:hAnsi="仿宋" w:cs="Times New Roman"/>
            </w:rPr>
            <w:t>（五）充电等候时间：超六成的用户能接受等候时间在30分钟以内</w:t>
          </w:r>
          <w:r>
            <w:rPr>
              <w:rFonts w:ascii="仿宋" w:hAnsi="仿宋"/>
            </w:rPr>
            <w:tab/>
          </w:r>
          <w:r>
            <w:rPr>
              <w:rFonts w:ascii="仿宋" w:hAnsi="仿宋"/>
            </w:rPr>
            <w:fldChar w:fldCharType="begin"/>
          </w:r>
          <w:r>
            <w:rPr>
              <w:rFonts w:ascii="仿宋" w:hAnsi="仿宋"/>
            </w:rPr>
            <w:instrText xml:space="preserve"> PAGEREF _Toc157760686 \h </w:instrText>
          </w:r>
          <w:r>
            <w:rPr>
              <w:rFonts w:ascii="仿宋" w:hAnsi="仿宋"/>
            </w:rPr>
            <w:fldChar w:fldCharType="separate"/>
          </w:r>
          <w:r>
            <w:rPr>
              <w:rFonts w:ascii="仿宋" w:hAnsi="仿宋"/>
            </w:rPr>
            <w:t>10</w:t>
          </w:r>
          <w:r>
            <w:rPr>
              <w:rFonts w:ascii="仿宋" w:hAnsi="仿宋"/>
            </w:rPr>
            <w:fldChar w:fldCharType="end"/>
          </w:r>
          <w:r>
            <w:rPr>
              <w:rFonts w:ascii="仿宋" w:hAnsi="仿宋"/>
            </w:rPr>
            <w:fldChar w:fldCharType="end"/>
          </w:r>
        </w:p>
        <w:p>
          <w:pPr>
            <w:pStyle w:val="6"/>
            <w:tabs>
              <w:tab w:val="right" w:leader="dot" w:pos="8296"/>
            </w:tabs>
            <w:ind w:left="1280" w:firstLine="0" w:firstLineChars="0"/>
            <w:rPr>
              <w:rFonts w:ascii="仿宋" w:hAnsi="仿宋"/>
              <w:sz w:val="21"/>
              <w14:ligatures w14:val="standardContextual"/>
            </w:rPr>
          </w:pPr>
          <w:r>
            <w:fldChar w:fldCharType="begin"/>
          </w:r>
          <w:r>
            <w:instrText xml:space="preserve"> HYPERLINK \l "_Toc157760687" </w:instrText>
          </w:r>
          <w:r>
            <w:fldChar w:fldCharType="separate"/>
          </w:r>
          <w:r>
            <w:rPr>
              <w:rStyle w:val="17"/>
              <w:rFonts w:ascii="仿宋" w:hAnsi="仿宋" w:cs="Times New Roman"/>
            </w:rPr>
            <w:t>（六）充电寻址距离：近八成用户可接受充电寻址距离在5公里以内</w:t>
          </w:r>
          <w:r>
            <w:rPr>
              <w:rFonts w:ascii="仿宋" w:hAnsi="仿宋"/>
            </w:rPr>
            <w:tab/>
          </w:r>
          <w:r>
            <w:rPr>
              <w:rFonts w:ascii="仿宋" w:hAnsi="仿宋"/>
            </w:rPr>
            <w:fldChar w:fldCharType="begin"/>
          </w:r>
          <w:r>
            <w:rPr>
              <w:rFonts w:ascii="仿宋" w:hAnsi="仿宋"/>
            </w:rPr>
            <w:instrText xml:space="preserve"> PAGEREF _Toc157760687 \h </w:instrText>
          </w:r>
          <w:r>
            <w:rPr>
              <w:rFonts w:ascii="仿宋" w:hAnsi="仿宋"/>
            </w:rPr>
            <w:fldChar w:fldCharType="separate"/>
          </w:r>
          <w:r>
            <w:rPr>
              <w:rFonts w:ascii="仿宋" w:hAnsi="仿宋"/>
            </w:rPr>
            <w:t>11</w:t>
          </w:r>
          <w:r>
            <w:rPr>
              <w:rFonts w:ascii="仿宋" w:hAnsi="仿宋"/>
            </w:rPr>
            <w:fldChar w:fldCharType="end"/>
          </w:r>
          <w:r>
            <w:rPr>
              <w:rFonts w:ascii="仿宋" w:hAnsi="仿宋"/>
            </w:rPr>
            <w:fldChar w:fldCharType="end"/>
          </w:r>
        </w:p>
        <w:p>
          <w:pPr>
            <w:pStyle w:val="6"/>
            <w:tabs>
              <w:tab w:val="right" w:leader="dot" w:pos="8296"/>
            </w:tabs>
            <w:ind w:left="1280" w:firstLine="0" w:firstLineChars="0"/>
            <w:rPr>
              <w:rFonts w:ascii="仿宋" w:hAnsi="仿宋"/>
              <w:sz w:val="21"/>
              <w14:ligatures w14:val="standardContextual"/>
            </w:rPr>
          </w:pPr>
          <w:r>
            <w:fldChar w:fldCharType="begin"/>
          </w:r>
          <w:r>
            <w:instrText xml:space="preserve"> HYPERLINK \l "_Toc157760688" </w:instrText>
          </w:r>
          <w:r>
            <w:fldChar w:fldCharType="separate"/>
          </w:r>
          <w:r>
            <w:rPr>
              <w:rStyle w:val="17"/>
              <w:rFonts w:ascii="仿宋" w:hAnsi="仿宋" w:cs="Times New Roman"/>
            </w:rPr>
            <w:t>（七）充停费用：分时段计费，近四成充电时免收停车费</w:t>
          </w:r>
          <w:r>
            <w:rPr>
              <w:rFonts w:ascii="仿宋" w:hAnsi="仿宋"/>
            </w:rPr>
            <w:tab/>
          </w:r>
          <w:r>
            <w:rPr>
              <w:rFonts w:ascii="仿宋" w:hAnsi="仿宋"/>
            </w:rPr>
            <w:fldChar w:fldCharType="begin"/>
          </w:r>
          <w:r>
            <w:rPr>
              <w:rFonts w:ascii="仿宋" w:hAnsi="仿宋"/>
            </w:rPr>
            <w:instrText xml:space="preserve"> PAGEREF _Toc157760688 \h </w:instrText>
          </w:r>
          <w:r>
            <w:rPr>
              <w:rFonts w:ascii="仿宋" w:hAnsi="仿宋"/>
            </w:rPr>
            <w:fldChar w:fldCharType="separate"/>
          </w:r>
          <w:r>
            <w:rPr>
              <w:rFonts w:ascii="仿宋" w:hAnsi="仿宋"/>
            </w:rPr>
            <w:t>11</w:t>
          </w:r>
          <w:r>
            <w:rPr>
              <w:rFonts w:ascii="仿宋" w:hAnsi="仿宋"/>
            </w:rPr>
            <w:fldChar w:fldCharType="end"/>
          </w:r>
          <w:r>
            <w:rPr>
              <w:rFonts w:ascii="仿宋" w:hAnsi="仿宋"/>
            </w:rPr>
            <w:fldChar w:fldCharType="end"/>
          </w:r>
        </w:p>
        <w:p>
          <w:pPr>
            <w:pStyle w:val="12"/>
            <w:tabs>
              <w:tab w:val="right" w:leader="dot" w:pos="8296"/>
            </w:tabs>
            <w:ind w:left="640" w:firstLine="0" w:firstLineChars="0"/>
            <w:rPr>
              <w:rFonts w:ascii="仿宋" w:hAnsi="仿宋"/>
              <w:sz w:val="21"/>
              <w14:ligatures w14:val="standardContextual"/>
            </w:rPr>
          </w:pPr>
          <w:r>
            <w:fldChar w:fldCharType="begin"/>
          </w:r>
          <w:r>
            <w:instrText xml:space="preserve"> HYPERLINK \l "_Toc157760689" </w:instrText>
          </w:r>
          <w:r>
            <w:fldChar w:fldCharType="separate"/>
          </w:r>
          <w:r>
            <w:rPr>
              <w:rStyle w:val="17"/>
              <w:rFonts w:ascii="仿宋" w:hAnsi="仿宋" w:cs="Times New Roman"/>
            </w:rPr>
            <w:t>三、充电设施配备及充电服务满意度情况</w:t>
          </w:r>
          <w:r>
            <w:rPr>
              <w:rFonts w:ascii="仿宋" w:hAnsi="仿宋"/>
            </w:rPr>
            <w:tab/>
          </w:r>
          <w:r>
            <w:rPr>
              <w:rFonts w:ascii="仿宋" w:hAnsi="仿宋"/>
            </w:rPr>
            <w:fldChar w:fldCharType="begin"/>
          </w:r>
          <w:r>
            <w:rPr>
              <w:rFonts w:ascii="仿宋" w:hAnsi="仿宋"/>
            </w:rPr>
            <w:instrText xml:space="preserve"> PAGEREF _Toc157760689 \h </w:instrText>
          </w:r>
          <w:r>
            <w:rPr>
              <w:rFonts w:ascii="仿宋" w:hAnsi="仿宋"/>
            </w:rPr>
            <w:fldChar w:fldCharType="separate"/>
          </w:r>
          <w:r>
            <w:rPr>
              <w:rFonts w:ascii="仿宋" w:hAnsi="仿宋"/>
            </w:rPr>
            <w:t>13</w:t>
          </w:r>
          <w:r>
            <w:rPr>
              <w:rFonts w:ascii="仿宋" w:hAnsi="仿宋"/>
            </w:rPr>
            <w:fldChar w:fldCharType="end"/>
          </w:r>
          <w:r>
            <w:rPr>
              <w:rFonts w:ascii="仿宋" w:hAnsi="仿宋"/>
            </w:rPr>
            <w:fldChar w:fldCharType="end"/>
          </w:r>
        </w:p>
        <w:p>
          <w:pPr>
            <w:pStyle w:val="6"/>
            <w:tabs>
              <w:tab w:val="right" w:leader="dot" w:pos="8296"/>
            </w:tabs>
            <w:ind w:left="1280" w:firstLine="0" w:firstLineChars="0"/>
            <w:rPr>
              <w:rFonts w:ascii="仿宋" w:hAnsi="仿宋"/>
              <w:sz w:val="21"/>
              <w14:ligatures w14:val="standardContextual"/>
            </w:rPr>
          </w:pPr>
          <w:r>
            <w:fldChar w:fldCharType="begin"/>
          </w:r>
          <w:r>
            <w:instrText xml:space="preserve"> HYPERLINK \l "_Toc157760690" </w:instrText>
          </w:r>
          <w:r>
            <w:fldChar w:fldCharType="separate"/>
          </w:r>
          <w:r>
            <w:rPr>
              <w:rStyle w:val="17"/>
              <w:rFonts w:ascii="仿宋" w:hAnsi="仿宋" w:cs="Times New Roman"/>
            </w:rPr>
            <w:t>（一）充电设施配备</w:t>
          </w:r>
          <w:r>
            <w:rPr>
              <w:rFonts w:ascii="仿宋" w:hAnsi="仿宋"/>
            </w:rPr>
            <w:tab/>
          </w:r>
          <w:r>
            <w:rPr>
              <w:rFonts w:ascii="仿宋" w:hAnsi="仿宋"/>
            </w:rPr>
            <w:fldChar w:fldCharType="begin"/>
          </w:r>
          <w:r>
            <w:rPr>
              <w:rFonts w:ascii="仿宋" w:hAnsi="仿宋"/>
            </w:rPr>
            <w:instrText xml:space="preserve"> PAGEREF _Toc157760690 \h </w:instrText>
          </w:r>
          <w:r>
            <w:rPr>
              <w:rFonts w:ascii="仿宋" w:hAnsi="仿宋"/>
            </w:rPr>
            <w:fldChar w:fldCharType="separate"/>
          </w:r>
          <w:r>
            <w:rPr>
              <w:rFonts w:ascii="仿宋" w:hAnsi="仿宋"/>
            </w:rPr>
            <w:t>13</w:t>
          </w:r>
          <w:r>
            <w:rPr>
              <w:rFonts w:ascii="仿宋" w:hAnsi="仿宋"/>
            </w:rPr>
            <w:fldChar w:fldCharType="end"/>
          </w:r>
          <w:r>
            <w:rPr>
              <w:rFonts w:ascii="仿宋" w:hAnsi="仿宋"/>
            </w:rPr>
            <w:fldChar w:fldCharType="end"/>
          </w:r>
        </w:p>
        <w:p>
          <w:pPr>
            <w:pStyle w:val="6"/>
            <w:tabs>
              <w:tab w:val="right" w:leader="dot" w:pos="8296"/>
            </w:tabs>
            <w:ind w:left="1280" w:firstLine="0" w:firstLineChars="0"/>
            <w:rPr>
              <w:rFonts w:ascii="仿宋" w:hAnsi="仿宋"/>
              <w:sz w:val="21"/>
              <w14:ligatures w14:val="standardContextual"/>
            </w:rPr>
          </w:pPr>
          <w:r>
            <w:fldChar w:fldCharType="begin"/>
          </w:r>
          <w:r>
            <w:instrText xml:space="preserve"> HYPERLINK \l "_Toc157760691" </w:instrText>
          </w:r>
          <w:r>
            <w:fldChar w:fldCharType="separate"/>
          </w:r>
          <w:r>
            <w:rPr>
              <w:rStyle w:val="17"/>
              <w:rFonts w:ascii="仿宋" w:hAnsi="仿宋" w:cs="Times New Roman"/>
            </w:rPr>
            <w:t>（二）充电服务满意度</w:t>
          </w:r>
          <w:r>
            <w:rPr>
              <w:rFonts w:ascii="仿宋" w:hAnsi="仿宋"/>
            </w:rPr>
            <w:tab/>
          </w:r>
          <w:r>
            <w:rPr>
              <w:rFonts w:ascii="仿宋" w:hAnsi="仿宋"/>
            </w:rPr>
            <w:fldChar w:fldCharType="begin"/>
          </w:r>
          <w:r>
            <w:rPr>
              <w:rFonts w:ascii="仿宋" w:hAnsi="仿宋"/>
            </w:rPr>
            <w:instrText xml:space="preserve"> PAGEREF _Toc157760691 \h </w:instrText>
          </w:r>
          <w:r>
            <w:rPr>
              <w:rFonts w:ascii="仿宋" w:hAnsi="仿宋"/>
            </w:rPr>
            <w:fldChar w:fldCharType="separate"/>
          </w:r>
          <w:r>
            <w:rPr>
              <w:rFonts w:ascii="仿宋" w:hAnsi="仿宋"/>
            </w:rPr>
            <w:t>16</w:t>
          </w:r>
          <w:r>
            <w:rPr>
              <w:rFonts w:ascii="仿宋" w:hAnsi="仿宋"/>
            </w:rPr>
            <w:fldChar w:fldCharType="end"/>
          </w:r>
          <w:r>
            <w:rPr>
              <w:rFonts w:ascii="仿宋" w:hAnsi="仿宋"/>
            </w:rPr>
            <w:fldChar w:fldCharType="end"/>
          </w:r>
        </w:p>
        <w:p>
          <w:pPr>
            <w:pStyle w:val="12"/>
            <w:tabs>
              <w:tab w:val="right" w:leader="dot" w:pos="8296"/>
            </w:tabs>
            <w:ind w:left="640" w:firstLine="0" w:firstLineChars="0"/>
            <w:rPr>
              <w:rFonts w:ascii="仿宋" w:hAnsi="仿宋"/>
              <w:sz w:val="21"/>
              <w14:ligatures w14:val="standardContextual"/>
            </w:rPr>
          </w:pPr>
          <w:r>
            <w:fldChar w:fldCharType="begin"/>
          </w:r>
          <w:r>
            <w:instrText xml:space="preserve"> HYPERLINK \l "_Toc157760692" </w:instrText>
          </w:r>
          <w:r>
            <w:fldChar w:fldCharType="separate"/>
          </w:r>
          <w:r>
            <w:rPr>
              <w:rStyle w:val="17"/>
              <w:rFonts w:ascii="仿宋" w:hAnsi="仿宋" w:cs="Times New Roman"/>
            </w:rPr>
            <w:t>四、充电服务的不足及优化措施</w:t>
          </w:r>
          <w:r>
            <w:rPr>
              <w:rStyle w:val="17"/>
              <w:rFonts w:ascii="仿宋" w:hAnsi="仿宋" w:cs="Times New Roman"/>
              <w:strike/>
            </w:rPr>
            <w:t>情况</w:t>
          </w:r>
          <w:r>
            <w:rPr>
              <w:rFonts w:ascii="仿宋" w:hAnsi="仿宋"/>
            </w:rPr>
            <w:tab/>
          </w:r>
          <w:r>
            <w:rPr>
              <w:rFonts w:ascii="仿宋" w:hAnsi="仿宋"/>
            </w:rPr>
            <w:fldChar w:fldCharType="begin"/>
          </w:r>
          <w:r>
            <w:rPr>
              <w:rFonts w:ascii="仿宋" w:hAnsi="仿宋"/>
            </w:rPr>
            <w:instrText xml:space="preserve"> PAGEREF _Toc157760692 \h </w:instrText>
          </w:r>
          <w:r>
            <w:rPr>
              <w:rFonts w:ascii="仿宋" w:hAnsi="仿宋"/>
            </w:rPr>
            <w:fldChar w:fldCharType="separate"/>
          </w:r>
          <w:r>
            <w:rPr>
              <w:rFonts w:ascii="仿宋" w:hAnsi="仿宋"/>
            </w:rPr>
            <w:t>22</w:t>
          </w:r>
          <w:r>
            <w:rPr>
              <w:rFonts w:ascii="仿宋" w:hAnsi="仿宋"/>
            </w:rPr>
            <w:fldChar w:fldCharType="end"/>
          </w:r>
          <w:r>
            <w:rPr>
              <w:rFonts w:ascii="仿宋" w:hAnsi="仿宋"/>
            </w:rPr>
            <w:fldChar w:fldCharType="end"/>
          </w:r>
        </w:p>
        <w:p>
          <w:pPr>
            <w:pStyle w:val="6"/>
            <w:tabs>
              <w:tab w:val="right" w:leader="dot" w:pos="8296"/>
            </w:tabs>
            <w:ind w:left="1280" w:firstLine="0" w:firstLineChars="0"/>
            <w:rPr>
              <w:rFonts w:ascii="仿宋" w:hAnsi="仿宋"/>
              <w:sz w:val="21"/>
              <w14:ligatures w14:val="standardContextual"/>
            </w:rPr>
          </w:pPr>
          <w:r>
            <w:fldChar w:fldCharType="begin"/>
          </w:r>
          <w:r>
            <w:instrText xml:space="preserve"> HYPERLINK \l "_Toc157760693" </w:instrText>
          </w:r>
          <w:r>
            <w:fldChar w:fldCharType="separate"/>
          </w:r>
          <w:r>
            <w:rPr>
              <w:rStyle w:val="17"/>
              <w:rFonts w:ascii="仿宋" w:hAnsi="仿宋" w:cs="Times New Roman"/>
            </w:rPr>
            <w:t>（一）充电服务内容优化方面</w:t>
          </w:r>
          <w:r>
            <w:rPr>
              <w:rFonts w:ascii="仿宋" w:hAnsi="仿宋"/>
            </w:rPr>
            <w:tab/>
          </w:r>
          <w:r>
            <w:rPr>
              <w:rFonts w:ascii="仿宋" w:hAnsi="仿宋"/>
            </w:rPr>
            <w:fldChar w:fldCharType="begin"/>
          </w:r>
          <w:r>
            <w:rPr>
              <w:rFonts w:ascii="仿宋" w:hAnsi="仿宋"/>
            </w:rPr>
            <w:instrText xml:space="preserve"> PAGEREF _Toc157760693 \h </w:instrText>
          </w:r>
          <w:r>
            <w:rPr>
              <w:rFonts w:ascii="仿宋" w:hAnsi="仿宋"/>
            </w:rPr>
            <w:fldChar w:fldCharType="separate"/>
          </w:r>
          <w:r>
            <w:rPr>
              <w:rFonts w:ascii="仿宋" w:hAnsi="仿宋"/>
            </w:rPr>
            <w:t>22</w:t>
          </w:r>
          <w:r>
            <w:rPr>
              <w:rFonts w:ascii="仿宋" w:hAnsi="仿宋"/>
            </w:rPr>
            <w:fldChar w:fldCharType="end"/>
          </w:r>
          <w:r>
            <w:rPr>
              <w:rFonts w:ascii="仿宋" w:hAnsi="仿宋"/>
            </w:rPr>
            <w:fldChar w:fldCharType="end"/>
          </w:r>
        </w:p>
        <w:p>
          <w:pPr>
            <w:pStyle w:val="6"/>
            <w:tabs>
              <w:tab w:val="right" w:leader="dot" w:pos="8296"/>
            </w:tabs>
            <w:ind w:left="1280" w:firstLine="0" w:firstLineChars="0"/>
            <w:rPr>
              <w:rFonts w:ascii="仿宋" w:hAnsi="仿宋"/>
              <w:sz w:val="21"/>
              <w14:ligatures w14:val="standardContextual"/>
            </w:rPr>
          </w:pPr>
          <w:r>
            <w:fldChar w:fldCharType="begin"/>
          </w:r>
          <w:r>
            <w:instrText xml:space="preserve"> HYPERLINK \l "_Toc157760694" </w:instrText>
          </w:r>
          <w:r>
            <w:fldChar w:fldCharType="separate"/>
          </w:r>
          <w:r>
            <w:rPr>
              <w:rStyle w:val="17"/>
              <w:rFonts w:ascii="仿宋" w:hAnsi="仿宋" w:cs="Times New Roman"/>
            </w:rPr>
            <w:t>（二）存在的问题</w:t>
          </w:r>
          <w:r>
            <w:rPr>
              <w:rFonts w:ascii="仿宋" w:hAnsi="仿宋"/>
            </w:rPr>
            <w:tab/>
          </w:r>
          <w:r>
            <w:rPr>
              <w:rFonts w:ascii="仿宋" w:hAnsi="仿宋"/>
            </w:rPr>
            <w:fldChar w:fldCharType="begin"/>
          </w:r>
          <w:r>
            <w:rPr>
              <w:rFonts w:ascii="仿宋" w:hAnsi="仿宋"/>
            </w:rPr>
            <w:instrText xml:space="preserve"> PAGEREF _Toc157760694 \h </w:instrText>
          </w:r>
          <w:r>
            <w:rPr>
              <w:rFonts w:ascii="仿宋" w:hAnsi="仿宋"/>
            </w:rPr>
            <w:fldChar w:fldCharType="separate"/>
          </w:r>
          <w:r>
            <w:rPr>
              <w:rFonts w:ascii="仿宋" w:hAnsi="仿宋"/>
            </w:rPr>
            <w:t>22</w:t>
          </w:r>
          <w:r>
            <w:rPr>
              <w:rFonts w:ascii="仿宋" w:hAnsi="仿宋"/>
            </w:rPr>
            <w:fldChar w:fldCharType="end"/>
          </w:r>
          <w:r>
            <w:rPr>
              <w:rFonts w:ascii="仿宋" w:hAnsi="仿宋"/>
            </w:rPr>
            <w:fldChar w:fldCharType="end"/>
          </w:r>
        </w:p>
        <w:p>
          <w:pPr>
            <w:pStyle w:val="6"/>
            <w:tabs>
              <w:tab w:val="right" w:leader="dot" w:pos="8296"/>
            </w:tabs>
            <w:ind w:left="1280" w:firstLine="0" w:firstLineChars="0"/>
            <w:rPr>
              <w:rFonts w:ascii="仿宋" w:hAnsi="仿宋"/>
              <w:sz w:val="21"/>
              <w14:ligatures w14:val="standardContextual"/>
            </w:rPr>
          </w:pPr>
          <w:r>
            <w:fldChar w:fldCharType="begin"/>
          </w:r>
          <w:r>
            <w:instrText xml:space="preserve"> HYPERLINK \l "_Toc157760695" </w:instrText>
          </w:r>
          <w:r>
            <w:fldChar w:fldCharType="separate"/>
          </w:r>
          <w:r>
            <w:rPr>
              <w:rStyle w:val="17"/>
              <w:rFonts w:ascii="仿宋" w:hAnsi="仿宋" w:cs="Times New Roman"/>
            </w:rPr>
            <w:t>（三）充电服务提升方向</w:t>
          </w:r>
          <w:r>
            <w:rPr>
              <w:rFonts w:ascii="仿宋" w:hAnsi="仿宋"/>
            </w:rPr>
            <w:tab/>
          </w:r>
          <w:r>
            <w:rPr>
              <w:rFonts w:ascii="仿宋" w:hAnsi="仿宋"/>
            </w:rPr>
            <w:fldChar w:fldCharType="begin"/>
          </w:r>
          <w:r>
            <w:rPr>
              <w:rFonts w:ascii="仿宋" w:hAnsi="仿宋"/>
            </w:rPr>
            <w:instrText xml:space="preserve"> PAGEREF _Toc157760695 \h </w:instrText>
          </w:r>
          <w:r>
            <w:rPr>
              <w:rFonts w:ascii="仿宋" w:hAnsi="仿宋"/>
            </w:rPr>
            <w:fldChar w:fldCharType="separate"/>
          </w:r>
          <w:r>
            <w:rPr>
              <w:rFonts w:ascii="仿宋" w:hAnsi="仿宋"/>
            </w:rPr>
            <w:t>23</w:t>
          </w:r>
          <w:r>
            <w:rPr>
              <w:rFonts w:ascii="仿宋" w:hAnsi="仿宋"/>
            </w:rPr>
            <w:fldChar w:fldCharType="end"/>
          </w:r>
          <w:r>
            <w:rPr>
              <w:rFonts w:ascii="仿宋" w:hAnsi="仿宋"/>
            </w:rPr>
            <w:fldChar w:fldCharType="end"/>
          </w:r>
        </w:p>
        <w:p>
          <w:pPr>
            <w:pStyle w:val="10"/>
            <w:tabs>
              <w:tab w:val="right" w:leader="dot" w:pos="8296"/>
            </w:tabs>
            <w:ind w:firstLine="0" w:firstLineChars="0"/>
            <w:rPr>
              <w:rFonts w:ascii="仿宋" w:hAnsi="仿宋"/>
              <w:sz w:val="21"/>
              <w14:ligatures w14:val="standardContextual"/>
            </w:rPr>
          </w:pPr>
          <w:r>
            <w:fldChar w:fldCharType="begin"/>
          </w:r>
          <w:r>
            <w:instrText xml:space="preserve"> HYPERLINK \l "_Toc157760696" </w:instrText>
          </w:r>
          <w:r>
            <w:fldChar w:fldCharType="separate"/>
          </w:r>
          <w:r>
            <w:rPr>
              <w:rStyle w:val="17"/>
              <w:rFonts w:ascii="仿宋" w:hAnsi="仿宋"/>
            </w:rPr>
            <w:t>第三部分：实地体验调查</w:t>
          </w:r>
          <w:r>
            <w:rPr>
              <w:rFonts w:ascii="仿宋" w:hAnsi="仿宋"/>
            </w:rPr>
            <w:tab/>
          </w:r>
          <w:r>
            <w:rPr>
              <w:rFonts w:ascii="仿宋" w:hAnsi="仿宋"/>
            </w:rPr>
            <w:fldChar w:fldCharType="begin"/>
          </w:r>
          <w:r>
            <w:rPr>
              <w:rFonts w:ascii="仿宋" w:hAnsi="仿宋"/>
            </w:rPr>
            <w:instrText xml:space="preserve"> PAGEREF _Toc157760696 \h </w:instrText>
          </w:r>
          <w:r>
            <w:rPr>
              <w:rFonts w:ascii="仿宋" w:hAnsi="仿宋"/>
            </w:rPr>
            <w:fldChar w:fldCharType="separate"/>
          </w:r>
          <w:r>
            <w:rPr>
              <w:rFonts w:ascii="仿宋" w:hAnsi="仿宋"/>
            </w:rPr>
            <w:t>25</w:t>
          </w:r>
          <w:r>
            <w:rPr>
              <w:rFonts w:ascii="仿宋" w:hAnsi="仿宋"/>
            </w:rPr>
            <w:fldChar w:fldCharType="end"/>
          </w:r>
          <w:r>
            <w:rPr>
              <w:rFonts w:ascii="仿宋" w:hAnsi="仿宋"/>
            </w:rPr>
            <w:fldChar w:fldCharType="end"/>
          </w:r>
        </w:p>
        <w:p>
          <w:pPr>
            <w:pStyle w:val="12"/>
            <w:tabs>
              <w:tab w:val="right" w:leader="dot" w:pos="8296"/>
            </w:tabs>
            <w:ind w:left="640" w:firstLine="0" w:firstLineChars="0"/>
            <w:rPr>
              <w:rFonts w:ascii="仿宋" w:hAnsi="仿宋"/>
              <w:sz w:val="21"/>
              <w14:ligatures w14:val="standardContextual"/>
            </w:rPr>
          </w:pPr>
          <w:r>
            <w:fldChar w:fldCharType="begin"/>
          </w:r>
          <w:r>
            <w:instrText xml:space="preserve"> HYPERLINK \l "_Toc157760697" </w:instrText>
          </w:r>
          <w:r>
            <w:fldChar w:fldCharType="separate"/>
          </w:r>
          <w:r>
            <w:rPr>
              <w:rStyle w:val="17"/>
              <w:rFonts w:ascii="仿宋" w:hAnsi="仿宋" w:cs="Times New Roman"/>
            </w:rPr>
            <w:t>一、实地体验调查数据分析</w:t>
          </w:r>
          <w:r>
            <w:rPr>
              <w:rFonts w:ascii="仿宋" w:hAnsi="仿宋"/>
            </w:rPr>
            <w:tab/>
          </w:r>
          <w:r>
            <w:rPr>
              <w:rFonts w:ascii="仿宋" w:hAnsi="仿宋"/>
            </w:rPr>
            <w:fldChar w:fldCharType="begin"/>
          </w:r>
          <w:r>
            <w:rPr>
              <w:rFonts w:ascii="仿宋" w:hAnsi="仿宋"/>
            </w:rPr>
            <w:instrText xml:space="preserve"> PAGEREF _Toc157760697 \h </w:instrText>
          </w:r>
          <w:r>
            <w:rPr>
              <w:rFonts w:ascii="仿宋" w:hAnsi="仿宋"/>
            </w:rPr>
            <w:fldChar w:fldCharType="separate"/>
          </w:r>
          <w:r>
            <w:rPr>
              <w:rFonts w:ascii="仿宋" w:hAnsi="仿宋"/>
            </w:rPr>
            <w:t>25</w:t>
          </w:r>
          <w:r>
            <w:rPr>
              <w:rFonts w:ascii="仿宋" w:hAnsi="仿宋"/>
            </w:rPr>
            <w:fldChar w:fldCharType="end"/>
          </w:r>
          <w:r>
            <w:rPr>
              <w:rFonts w:ascii="仿宋" w:hAnsi="仿宋"/>
            </w:rPr>
            <w:fldChar w:fldCharType="end"/>
          </w:r>
        </w:p>
        <w:p>
          <w:pPr>
            <w:pStyle w:val="6"/>
            <w:tabs>
              <w:tab w:val="right" w:leader="dot" w:pos="8296"/>
            </w:tabs>
            <w:ind w:left="1280" w:firstLine="0" w:firstLineChars="0"/>
            <w:rPr>
              <w:rFonts w:ascii="仿宋" w:hAnsi="仿宋"/>
              <w:sz w:val="21"/>
              <w14:ligatures w14:val="standardContextual"/>
            </w:rPr>
          </w:pPr>
          <w:r>
            <w:fldChar w:fldCharType="begin"/>
          </w:r>
          <w:r>
            <w:instrText xml:space="preserve"> HYPERLINK \l "_Toc157760698" </w:instrText>
          </w:r>
          <w:r>
            <w:fldChar w:fldCharType="separate"/>
          </w:r>
          <w:r>
            <w:rPr>
              <w:rStyle w:val="17"/>
              <w:rFonts w:ascii="仿宋" w:hAnsi="仿宋"/>
            </w:rPr>
            <w:t>（一）整体体验</w:t>
          </w:r>
          <w:r>
            <w:rPr>
              <w:rFonts w:ascii="仿宋" w:hAnsi="仿宋"/>
            </w:rPr>
            <w:tab/>
          </w:r>
          <w:r>
            <w:rPr>
              <w:rFonts w:ascii="仿宋" w:hAnsi="仿宋"/>
            </w:rPr>
            <w:fldChar w:fldCharType="begin"/>
          </w:r>
          <w:r>
            <w:rPr>
              <w:rFonts w:ascii="仿宋" w:hAnsi="仿宋"/>
            </w:rPr>
            <w:instrText xml:space="preserve"> PAGEREF _Toc157760698 \h </w:instrText>
          </w:r>
          <w:r>
            <w:rPr>
              <w:rFonts w:ascii="仿宋" w:hAnsi="仿宋"/>
            </w:rPr>
            <w:fldChar w:fldCharType="separate"/>
          </w:r>
          <w:r>
            <w:rPr>
              <w:rFonts w:ascii="仿宋" w:hAnsi="仿宋"/>
            </w:rPr>
            <w:t>25</w:t>
          </w:r>
          <w:r>
            <w:rPr>
              <w:rFonts w:ascii="仿宋" w:hAnsi="仿宋"/>
            </w:rPr>
            <w:fldChar w:fldCharType="end"/>
          </w:r>
          <w:r>
            <w:rPr>
              <w:rFonts w:ascii="仿宋" w:hAnsi="仿宋"/>
            </w:rPr>
            <w:fldChar w:fldCharType="end"/>
          </w:r>
        </w:p>
        <w:p>
          <w:pPr>
            <w:pStyle w:val="6"/>
            <w:tabs>
              <w:tab w:val="right" w:leader="dot" w:pos="8296"/>
            </w:tabs>
            <w:ind w:left="1280" w:firstLine="0" w:firstLineChars="0"/>
            <w:rPr>
              <w:rFonts w:ascii="仿宋" w:hAnsi="仿宋"/>
              <w:sz w:val="21"/>
              <w14:ligatures w14:val="standardContextual"/>
            </w:rPr>
          </w:pPr>
          <w:r>
            <w:fldChar w:fldCharType="begin"/>
          </w:r>
          <w:r>
            <w:instrText xml:space="preserve"> HYPERLINK \l "_Toc157760699" </w:instrText>
          </w:r>
          <w:r>
            <w:fldChar w:fldCharType="separate"/>
          </w:r>
          <w:r>
            <w:rPr>
              <w:rStyle w:val="17"/>
              <w:rFonts w:ascii="仿宋" w:hAnsi="仿宋"/>
            </w:rPr>
            <w:t>（二）到达体验</w:t>
          </w:r>
          <w:r>
            <w:rPr>
              <w:rFonts w:ascii="仿宋" w:hAnsi="仿宋"/>
            </w:rPr>
            <w:tab/>
          </w:r>
          <w:r>
            <w:rPr>
              <w:rFonts w:ascii="仿宋" w:hAnsi="仿宋"/>
            </w:rPr>
            <w:fldChar w:fldCharType="begin"/>
          </w:r>
          <w:r>
            <w:rPr>
              <w:rFonts w:ascii="仿宋" w:hAnsi="仿宋"/>
            </w:rPr>
            <w:instrText xml:space="preserve"> PAGEREF _Toc157760699 \h </w:instrText>
          </w:r>
          <w:r>
            <w:rPr>
              <w:rFonts w:ascii="仿宋" w:hAnsi="仿宋"/>
            </w:rPr>
            <w:fldChar w:fldCharType="separate"/>
          </w:r>
          <w:r>
            <w:rPr>
              <w:rFonts w:ascii="仿宋" w:hAnsi="仿宋"/>
            </w:rPr>
            <w:t>27</w:t>
          </w:r>
          <w:r>
            <w:rPr>
              <w:rFonts w:ascii="仿宋" w:hAnsi="仿宋"/>
            </w:rPr>
            <w:fldChar w:fldCharType="end"/>
          </w:r>
          <w:r>
            <w:rPr>
              <w:rFonts w:ascii="仿宋" w:hAnsi="仿宋"/>
            </w:rPr>
            <w:fldChar w:fldCharType="end"/>
          </w:r>
        </w:p>
        <w:p>
          <w:pPr>
            <w:pStyle w:val="6"/>
            <w:tabs>
              <w:tab w:val="right" w:leader="dot" w:pos="8296"/>
            </w:tabs>
            <w:ind w:left="1280" w:firstLine="0" w:firstLineChars="0"/>
            <w:rPr>
              <w:rFonts w:ascii="仿宋" w:hAnsi="仿宋"/>
              <w:sz w:val="21"/>
              <w14:ligatures w14:val="standardContextual"/>
            </w:rPr>
          </w:pPr>
          <w:r>
            <w:fldChar w:fldCharType="begin"/>
          </w:r>
          <w:r>
            <w:instrText xml:space="preserve"> HYPERLINK \l "_Toc157760700" </w:instrText>
          </w:r>
          <w:r>
            <w:fldChar w:fldCharType="separate"/>
          </w:r>
          <w:r>
            <w:rPr>
              <w:rStyle w:val="17"/>
              <w:rFonts w:ascii="仿宋" w:hAnsi="仿宋"/>
            </w:rPr>
            <w:t>（三）充电体验</w:t>
          </w:r>
          <w:r>
            <w:rPr>
              <w:rFonts w:ascii="仿宋" w:hAnsi="仿宋"/>
            </w:rPr>
            <w:tab/>
          </w:r>
          <w:r>
            <w:rPr>
              <w:rFonts w:ascii="仿宋" w:hAnsi="仿宋"/>
            </w:rPr>
            <w:fldChar w:fldCharType="begin"/>
          </w:r>
          <w:r>
            <w:rPr>
              <w:rFonts w:ascii="仿宋" w:hAnsi="仿宋"/>
            </w:rPr>
            <w:instrText xml:space="preserve"> PAGEREF _Toc157760700 \h </w:instrText>
          </w:r>
          <w:r>
            <w:rPr>
              <w:rFonts w:ascii="仿宋" w:hAnsi="仿宋"/>
            </w:rPr>
            <w:fldChar w:fldCharType="separate"/>
          </w:r>
          <w:r>
            <w:rPr>
              <w:rFonts w:ascii="仿宋" w:hAnsi="仿宋"/>
            </w:rPr>
            <w:t>28</w:t>
          </w:r>
          <w:r>
            <w:rPr>
              <w:rFonts w:ascii="仿宋" w:hAnsi="仿宋"/>
            </w:rPr>
            <w:fldChar w:fldCharType="end"/>
          </w:r>
          <w:r>
            <w:rPr>
              <w:rFonts w:ascii="仿宋" w:hAnsi="仿宋"/>
            </w:rPr>
            <w:fldChar w:fldCharType="end"/>
          </w:r>
        </w:p>
        <w:p>
          <w:pPr>
            <w:pStyle w:val="6"/>
            <w:tabs>
              <w:tab w:val="right" w:leader="dot" w:pos="8296"/>
            </w:tabs>
            <w:ind w:left="1280" w:firstLine="0" w:firstLineChars="0"/>
            <w:rPr>
              <w:rFonts w:ascii="仿宋" w:hAnsi="仿宋"/>
              <w:sz w:val="21"/>
              <w14:ligatures w14:val="standardContextual"/>
            </w:rPr>
          </w:pPr>
          <w:r>
            <w:fldChar w:fldCharType="begin"/>
          </w:r>
          <w:r>
            <w:instrText xml:space="preserve"> HYPERLINK \l "_Toc157760701" </w:instrText>
          </w:r>
          <w:r>
            <w:fldChar w:fldCharType="separate"/>
          </w:r>
          <w:r>
            <w:rPr>
              <w:rStyle w:val="17"/>
              <w:rFonts w:ascii="仿宋" w:hAnsi="仿宋"/>
            </w:rPr>
            <w:t>（四）付款体验</w:t>
          </w:r>
          <w:r>
            <w:rPr>
              <w:rFonts w:ascii="仿宋" w:hAnsi="仿宋"/>
            </w:rPr>
            <w:tab/>
          </w:r>
          <w:r>
            <w:rPr>
              <w:rFonts w:ascii="仿宋" w:hAnsi="仿宋"/>
            </w:rPr>
            <w:fldChar w:fldCharType="begin"/>
          </w:r>
          <w:r>
            <w:rPr>
              <w:rFonts w:ascii="仿宋" w:hAnsi="仿宋"/>
            </w:rPr>
            <w:instrText xml:space="preserve"> PAGEREF _Toc157760701 \h </w:instrText>
          </w:r>
          <w:r>
            <w:rPr>
              <w:rFonts w:ascii="仿宋" w:hAnsi="仿宋"/>
            </w:rPr>
            <w:fldChar w:fldCharType="separate"/>
          </w:r>
          <w:r>
            <w:rPr>
              <w:rFonts w:ascii="仿宋" w:hAnsi="仿宋"/>
            </w:rPr>
            <w:t>31</w:t>
          </w:r>
          <w:r>
            <w:rPr>
              <w:rFonts w:ascii="仿宋" w:hAnsi="仿宋"/>
            </w:rPr>
            <w:fldChar w:fldCharType="end"/>
          </w:r>
          <w:r>
            <w:rPr>
              <w:rFonts w:ascii="仿宋" w:hAnsi="仿宋"/>
            </w:rPr>
            <w:fldChar w:fldCharType="end"/>
          </w:r>
        </w:p>
        <w:p>
          <w:pPr>
            <w:pStyle w:val="6"/>
            <w:tabs>
              <w:tab w:val="right" w:leader="dot" w:pos="8296"/>
            </w:tabs>
            <w:ind w:left="1280" w:firstLine="0" w:firstLineChars="0"/>
            <w:rPr>
              <w:rFonts w:ascii="仿宋" w:hAnsi="仿宋"/>
              <w:sz w:val="21"/>
              <w14:ligatures w14:val="standardContextual"/>
            </w:rPr>
          </w:pPr>
          <w:r>
            <w:fldChar w:fldCharType="begin"/>
          </w:r>
          <w:r>
            <w:instrText xml:space="preserve"> HYPERLINK \l "_Toc157760702" </w:instrText>
          </w:r>
          <w:r>
            <w:fldChar w:fldCharType="separate"/>
          </w:r>
          <w:r>
            <w:rPr>
              <w:rStyle w:val="17"/>
              <w:rFonts w:ascii="仿宋" w:hAnsi="仿宋"/>
            </w:rPr>
            <w:t>（五）离开体验</w:t>
          </w:r>
          <w:r>
            <w:rPr>
              <w:rFonts w:ascii="仿宋" w:hAnsi="仿宋"/>
            </w:rPr>
            <w:tab/>
          </w:r>
          <w:r>
            <w:rPr>
              <w:rFonts w:ascii="仿宋" w:hAnsi="仿宋"/>
            </w:rPr>
            <w:fldChar w:fldCharType="begin"/>
          </w:r>
          <w:r>
            <w:rPr>
              <w:rFonts w:ascii="仿宋" w:hAnsi="仿宋"/>
            </w:rPr>
            <w:instrText xml:space="preserve"> PAGEREF _Toc157760702 \h </w:instrText>
          </w:r>
          <w:r>
            <w:rPr>
              <w:rFonts w:ascii="仿宋" w:hAnsi="仿宋"/>
            </w:rPr>
            <w:fldChar w:fldCharType="separate"/>
          </w:r>
          <w:r>
            <w:rPr>
              <w:rFonts w:ascii="仿宋" w:hAnsi="仿宋"/>
            </w:rPr>
            <w:t>32</w:t>
          </w:r>
          <w:r>
            <w:rPr>
              <w:rFonts w:ascii="仿宋" w:hAnsi="仿宋"/>
            </w:rPr>
            <w:fldChar w:fldCharType="end"/>
          </w:r>
          <w:r>
            <w:rPr>
              <w:rFonts w:ascii="仿宋" w:hAnsi="仿宋"/>
            </w:rPr>
            <w:fldChar w:fldCharType="end"/>
          </w:r>
        </w:p>
        <w:p>
          <w:pPr>
            <w:pStyle w:val="12"/>
            <w:tabs>
              <w:tab w:val="right" w:leader="dot" w:pos="8296"/>
            </w:tabs>
            <w:ind w:left="640" w:firstLine="0" w:firstLineChars="0"/>
            <w:rPr>
              <w:rFonts w:ascii="仿宋" w:hAnsi="仿宋"/>
              <w:sz w:val="21"/>
              <w14:ligatures w14:val="standardContextual"/>
            </w:rPr>
          </w:pPr>
          <w:r>
            <w:fldChar w:fldCharType="begin"/>
          </w:r>
          <w:r>
            <w:instrText xml:space="preserve"> HYPERLINK \l "_Toc157760703" </w:instrText>
          </w:r>
          <w:r>
            <w:fldChar w:fldCharType="separate"/>
          </w:r>
          <w:r>
            <w:rPr>
              <w:rStyle w:val="17"/>
              <w:rFonts w:ascii="仿宋" w:hAnsi="仿宋" w:cs="Times New Roman"/>
            </w:rPr>
            <w:t>二、实地体验调查中发现的问题</w:t>
          </w:r>
          <w:r>
            <w:rPr>
              <w:rFonts w:ascii="仿宋" w:hAnsi="仿宋"/>
            </w:rPr>
            <w:tab/>
          </w:r>
          <w:r>
            <w:rPr>
              <w:rFonts w:ascii="仿宋" w:hAnsi="仿宋"/>
            </w:rPr>
            <w:fldChar w:fldCharType="begin"/>
          </w:r>
          <w:r>
            <w:rPr>
              <w:rFonts w:ascii="仿宋" w:hAnsi="仿宋"/>
            </w:rPr>
            <w:instrText xml:space="preserve"> PAGEREF _Toc157760703 \h </w:instrText>
          </w:r>
          <w:r>
            <w:rPr>
              <w:rFonts w:ascii="仿宋" w:hAnsi="仿宋"/>
            </w:rPr>
            <w:fldChar w:fldCharType="separate"/>
          </w:r>
          <w:r>
            <w:rPr>
              <w:rFonts w:ascii="仿宋" w:hAnsi="仿宋"/>
            </w:rPr>
            <w:t>33</w:t>
          </w:r>
          <w:r>
            <w:rPr>
              <w:rFonts w:ascii="仿宋" w:hAnsi="仿宋"/>
            </w:rPr>
            <w:fldChar w:fldCharType="end"/>
          </w:r>
          <w:r>
            <w:rPr>
              <w:rFonts w:ascii="仿宋" w:hAnsi="仿宋"/>
            </w:rPr>
            <w:fldChar w:fldCharType="end"/>
          </w:r>
        </w:p>
        <w:p>
          <w:pPr>
            <w:pStyle w:val="6"/>
            <w:tabs>
              <w:tab w:val="right" w:leader="dot" w:pos="8296"/>
            </w:tabs>
            <w:ind w:left="1280" w:firstLine="0" w:firstLineChars="0"/>
            <w:rPr>
              <w:rFonts w:ascii="仿宋" w:hAnsi="仿宋"/>
              <w:sz w:val="21"/>
              <w14:ligatures w14:val="standardContextual"/>
            </w:rPr>
          </w:pPr>
          <w:r>
            <w:fldChar w:fldCharType="begin"/>
          </w:r>
          <w:r>
            <w:instrText xml:space="preserve"> HYPERLINK \l "_Toc157760704" </w:instrText>
          </w:r>
          <w:r>
            <w:fldChar w:fldCharType="separate"/>
          </w:r>
          <w:r>
            <w:rPr>
              <w:rStyle w:val="17"/>
              <w:rFonts w:ascii="仿宋" w:hAnsi="仿宋"/>
            </w:rPr>
            <w:t>（一）充电桩被占用问题突出，用户满意度不佳</w:t>
          </w:r>
          <w:r>
            <w:rPr>
              <w:rFonts w:ascii="仿宋" w:hAnsi="仿宋"/>
            </w:rPr>
            <w:tab/>
          </w:r>
          <w:r>
            <w:rPr>
              <w:rFonts w:ascii="仿宋" w:hAnsi="仿宋"/>
            </w:rPr>
            <w:fldChar w:fldCharType="begin"/>
          </w:r>
          <w:r>
            <w:rPr>
              <w:rFonts w:ascii="仿宋" w:hAnsi="仿宋"/>
            </w:rPr>
            <w:instrText xml:space="preserve"> PAGEREF _Toc157760704 \h </w:instrText>
          </w:r>
          <w:r>
            <w:rPr>
              <w:rFonts w:ascii="仿宋" w:hAnsi="仿宋"/>
            </w:rPr>
            <w:fldChar w:fldCharType="separate"/>
          </w:r>
          <w:r>
            <w:rPr>
              <w:rFonts w:ascii="仿宋" w:hAnsi="仿宋"/>
            </w:rPr>
            <w:t>33</w:t>
          </w:r>
          <w:r>
            <w:rPr>
              <w:rFonts w:ascii="仿宋" w:hAnsi="仿宋"/>
            </w:rPr>
            <w:fldChar w:fldCharType="end"/>
          </w:r>
          <w:r>
            <w:rPr>
              <w:rFonts w:ascii="仿宋" w:hAnsi="仿宋"/>
            </w:rPr>
            <w:fldChar w:fldCharType="end"/>
          </w:r>
        </w:p>
        <w:p>
          <w:pPr>
            <w:pStyle w:val="6"/>
            <w:tabs>
              <w:tab w:val="right" w:leader="dot" w:pos="8296"/>
            </w:tabs>
            <w:ind w:left="1280" w:firstLine="0" w:firstLineChars="0"/>
            <w:rPr>
              <w:rFonts w:ascii="仿宋" w:hAnsi="仿宋"/>
              <w:sz w:val="21"/>
              <w14:ligatures w14:val="standardContextual"/>
            </w:rPr>
          </w:pPr>
          <w:r>
            <w:fldChar w:fldCharType="begin"/>
          </w:r>
          <w:r>
            <w:instrText xml:space="preserve"> HYPERLINK \l "_Toc157760705" </w:instrText>
          </w:r>
          <w:r>
            <w:fldChar w:fldCharType="separate"/>
          </w:r>
          <w:r>
            <w:rPr>
              <w:rStyle w:val="17"/>
              <w:rFonts w:ascii="仿宋" w:hAnsi="仿宋"/>
            </w:rPr>
            <w:t>（二）充电服务故障损坏频发，用户体验受损</w:t>
          </w:r>
          <w:r>
            <w:rPr>
              <w:rFonts w:ascii="仿宋" w:hAnsi="仿宋"/>
            </w:rPr>
            <w:tab/>
          </w:r>
          <w:r>
            <w:rPr>
              <w:rFonts w:ascii="仿宋" w:hAnsi="仿宋"/>
            </w:rPr>
            <w:fldChar w:fldCharType="begin"/>
          </w:r>
          <w:r>
            <w:rPr>
              <w:rFonts w:ascii="仿宋" w:hAnsi="仿宋"/>
            </w:rPr>
            <w:instrText xml:space="preserve"> PAGEREF _Toc157760705 \h </w:instrText>
          </w:r>
          <w:r>
            <w:rPr>
              <w:rFonts w:ascii="仿宋" w:hAnsi="仿宋"/>
            </w:rPr>
            <w:fldChar w:fldCharType="separate"/>
          </w:r>
          <w:r>
            <w:rPr>
              <w:rFonts w:ascii="仿宋" w:hAnsi="仿宋"/>
            </w:rPr>
            <w:t>34</w:t>
          </w:r>
          <w:r>
            <w:rPr>
              <w:rFonts w:ascii="仿宋" w:hAnsi="仿宋"/>
            </w:rPr>
            <w:fldChar w:fldCharType="end"/>
          </w:r>
          <w:r>
            <w:rPr>
              <w:rFonts w:ascii="仿宋" w:hAnsi="仿宋"/>
            </w:rPr>
            <w:fldChar w:fldCharType="end"/>
          </w:r>
        </w:p>
        <w:p>
          <w:pPr>
            <w:pStyle w:val="6"/>
            <w:tabs>
              <w:tab w:val="right" w:leader="dot" w:pos="8296"/>
            </w:tabs>
            <w:ind w:left="1280" w:firstLine="0" w:firstLineChars="0"/>
            <w:rPr>
              <w:rFonts w:ascii="仿宋" w:hAnsi="仿宋"/>
              <w:sz w:val="21"/>
              <w14:ligatures w14:val="standardContextual"/>
            </w:rPr>
          </w:pPr>
          <w:r>
            <w:fldChar w:fldCharType="begin"/>
          </w:r>
          <w:r>
            <w:instrText xml:space="preserve"> HYPERLINK \l "_Toc157760706" </w:instrText>
          </w:r>
          <w:r>
            <w:fldChar w:fldCharType="separate"/>
          </w:r>
          <w:r>
            <w:rPr>
              <w:rStyle w:val="17"/>
              <w:rFonts w:ascii="仿宋" w:hAnsi="仿宋"/>
            </w:rPr>
            <w:t>（三）充电收费标准不统一，增加用户时间成本</w:t>
          </w:r>
          <w:r>
            <w:rPr>
              <w:rFonts w:ascii="仿宋" w:hAnsi="仿宋"/>
            </w:rPr>
            <w:tab/>
          </w:r>
          <w:r>
            <w:rPr>
              <w:rFonts w:ascii="仿宋" w:hAnsi="仿宋"/>
            </w:rPr>
            <w:fldChar w:fldCharType="begin"/>
          </w:r>
          <w:r>
            <w:rPr>
              <w:rFonts w:ascii="仿宋" w:hAnsi="仿宋"/>
            </w:rPr>
            <w:instrText xml:space="preserve"> PAGEREF _Toc157760706 \h </w:instrText>
          </w:r>
          <w:r>
            <w:rPr>
              <w:rFonts w:ascii="仿宋" w:hAnsi="仿宋"/>
            </w:rPr>
            <w:fldChar w:fldCharType="separate"/>
          </w:r>
          <w:r>
            <w:rPr>
              <w:rFonts w:ascii="仿宋" w:hAnsi="仿宋"/>
            </w:rPr>
            <w:t>35</w:t>
          </w:r>
          <w:r>
            <w:rPr>
              <w:rFonts w:ascii="仿宋" w:hAnsi="仿宋"/>
            </w:rPr>
            <w:fldChar w:fldCharType="end"/>
          </w:r>
          <w:r>
            <w:rPr>
              <w:rFonts w:ascii="仿宋" w:hAnsi="仿宋"/>
            </w:rPr>
            <w:fldChar w:fldCharType="end"/>
          </w:r>
        </w:p>
        <w:p>
          <w:pPr>
            <w:pStyle w:val="6"/>
            <w:tabs>
              <w:tab w:val="right" w:leader="dot" w:pos="8296"/>
            </w:tabs>
            <w:ind w:left="1280" w:firstLine="0" w:firstLineChars="0"/>
            <w:rPr>
              <w:rFonts w:ascii="仿宋" w:hAnsi="仿宋"/>
              <w:sz w:val="21"/>
              <w14:ligatures w14:val="standardContextual"/>
            </w:rPr>
          </w:pPr>
          <w:r>
            <w:fldChar w:fldCharType="begin"/>
          </w:r>
          <w:r>
            <w:instrText xml:space="preserve"> HYPERLINK \l "_Toc157760707" </w:instrText>
          </w:r>
          <w:r>
            <w:fldChar w:fldCharType="separate"/>
          </w:r>
          <w:r>
            <w:rPr>
              <w:rStyle w:val="17"/>
              <w:rFonts w:ascii="仿宋" w:hAnsi="仿宋"/>
            </w:rPr>
            <w:t>（四）充电速度慢影响使用效率，充电设备需升级</w:t>
          </w:r>
          <w:r>
            <w:rPr>
              <w:rFonts w:ascii="仿宋" w:hAnsi="仿宋"/>
            </w:rPr>
            <w:tab/>
          </w:r>
          <w:r>
            <w:rPr>
              <w:rFonts w:ascii="仿宋" w:hAnsi="仿宋"/>
            </w:rPr>
            <w:fldChar w:fldCharType="begin"/>
          </w:r>
          <w:r>
            <w:rPr>
              <w:rFonts w:ascii="仿宋" w:hAnsi="仿宋"/>
            </w:rPr>
            <w:instrText xml:space="preserve"> PAGEREF _Toc157760707 \h </w:instrText>
          </w:r>
          <w:r>
            <w:rPr>
              <w:rFonts w:ascii="仿宋" w:hAnsi="仿宋"/>
            </w:rPr>
            <w:fldChar w:fldCharType="separate"/>
          </w:r>
          <w:r>
            <w:rPr>
              <w:rFonts w:ascii="仿宋" w:hAnsi="仿宋"/>
            </w:rPr>
            <w:t>36</w:t>
          </w:r>
          <w:r>
            <w:rPr>
              <w:rFonts w:ascii="仿宋" w:hAnsi="仿宋"/>
            </w:rPr>
            <w:fldChar w:fldCharType="end"/>
          </w:r>
          <w:r>
            <w:rPr>
              <w:rFonts w:ascii="仿宋" w:hAnsi="仿宋"/>
            </w:rPr>
            <w:fldChar w:fldCharType="end"/>
          </w:r>
        </w:p>
        <w:p>
          <w:pPr>
            <w:pStyle w:val="10"/>
            <w:tabs>
              <w:tab w:val="right" w:leader="dot" w:pos="8296"/>
            </w:tabs>
            <w:ind w:firstLine="0" w:firstLineChars="0"/>
            <w:rPr>
              <w:rFonts w:ascii="仿宋" w:hAnsi="仿宋"/>
              <w:sz w:val="21"/>
              <w14:ligatures w14:val="standardContextual"/>
            </w:rPr>
          </w:pPr>
          <w:r>
            <w:fldChar w:fldCharType="begin"/>
          </w:r>
          <w:r>
            <w:instrText xml:space="preserve"> HYPERLINK \l "_Toc157760708" </w:instrText>
          </w:r>
          <w:r>
            <w:fldChar w:fldCharType="separate"/>
          </w:r>
          <w:r>
            <w:rPr>
              <w:rStyle w:val="17"/>
              <w:rFonts w:ascii="仿宋" w:hAnsi="仿宋" w:cs="Times New Roman"/>
            </w:rPr>
            <w:t>第四部分：完善充电服务的意见建议</w:t>
          </w:r>
          <w:r>
            <w:rPr>
              <w:rFonts w:ascii="仿宋" w:hAnsi="仿宋"/>
            </w:rPr>
            <w:tab/>
          </w:r>
          <w:r>
            <w:rPr>
              <w:rFonts w:ascii="仿宋" w:hAnsi="仿宋"/>
            </w:rPr>
            <w:fldChar w:fldCharType="begin"/>
          </w:r>
          <w:r>
            <w:rPr>
              <w:rFonts w:ascii="仿宋" w:hAnsi="仿宋"/>
            </w:rPr>
            <w:instrText xml:space="preserve"> PAGEREF _Toc157760708 \h </w:instrText>
          </w:r>
          <w:r>
            <w:rPr>
              <w:rFonts w:ascii="仿宋" w:hAnsi="仿宋"/>
            </w:rPr>
            <w:fldChar w:fldCharType="separate"/>
          </w:r>
          <w:r>
            <w:rPr>
              <w:rFonts w:ascii="仿宋" w:hAnsi="仿宋"/>
            </w:rPr>
            <w:t>37</w:t>
          </w:r>
          <w:r>
            <w:rPr>
              <w:rFonts w:ascii="仿宋" w:hAnsi="仿宋"/>
            </w:rPr>
            <w:fldChar w:fldCharType="end"/>
          </w:r>
          <w:r>
            <w:rPr>
              <w:rFonts w:ascii="仿宋" w:hAnsi="仿宋"/>
            </w:rPr>
            <w:fldChar w:fldCharType="end"/>
          </w:r>
        </w:p>
        <w:p>
          <w:pPr>
            <w:pStyle w:val="12"/>
            <w:tabs>
              <w:tab w:val="right" w:leader="dot" w:pos="8296"/>
            </w:tabs>
            <w:ind w:left="640" w:firstLine="0" w:firstLineChars="0"/>
            <w:rPr>
              <w:rFonts w:ascii="仿宋" w:hAnsi="仿宋"/>
              <w:sz w:val="21"/>
              <w14:ligatures w14:val="standardContextual"/>
            </w:rPr>
          </w:pPr>
          <w:r>
            <w:fldChar w:fldCharType="begin"/>
          </w:r>
          <w:r>
            <w:instrText xml:space="preserve"> HYPERLINK \l "_Toc157760709" </w:instrText>
          </w:r>
          <w:r>
            <w:fldChar w:fldCharType="separate"/>
          </w:r>
          <w:r>
            <w:rPr>
              <w:rStyle w:val="17"/>
              <w:rFonts w:ascii="仿宋" w:hAnsi="仿宋" w:cs="Times New Roman"/>
            </w:rPr>
            <w:t>一、解决桩源被占问题，减少充电资源浪费</w:t>
          </w:r>
          <w:r>
            <w:rPr>
              <w:rFonts w:ascii="仿宋" w:hAnsi="仿宋"/>
            </w:rPr>
            <w:tab/>
          </w:r>
          <w:r>
            <w:rPr>
              <w:rFonts w:ascii="仿宋" w:hAnsi="仿宋"/>
            </w:rPr>
            <w:fldChar w:fldCharType="begin"/>
          </w:r>
          <w:r>
            <w:rPr>
              <w:rFonts w:ascii="仿宋" w:hAnsi="仿宋"/>
            </w:rPr>
            <w:instrText xml:space="preserve"> PAGEREF _Toc157760709 \h </w:instrText>
          </w:r>
          <w:r>
            <w:rPr>
              <w:rFonts w:ascii="仿宋" w:hAnsi="仿宋"/>
            </w:rPr>
            <w:fldChar w:fldCharType="separate"/>
          </w:r>
          <w:r>
            <w:rPr>
              <w:rFonts w:ascii="仿宋" w:hAnsi="仿宋"/>
            </w:rPr>
            <w:t>37</w:t>
          </w:r>
          <w:r>
            <w:rPr>
              <w:rFonts w:ascii="仿宋" w:hAnsi="仿宋"/>
            </w:rPr>
            <w:fldChar w:fldCharType="end"/>
          </w:r>
          <w:r>
            <w:rPr>
              <w:rFonts w:ascii="仿宋" w:hAnsi="仿宋"/>
            </w:rPr>
            <w:fldChar w:fldCharType="end"/>
          </w:r>
        </w:p>
        <w:p>
          <w:pPr>
            <w:pStyle w:val="12"/>
            <w:tabs>
              <w:tab w:val="right" w:leader="dot" w:pos="8296"/>
            </w:tabs>
            <w:ind w:left="640" w:firstLine="0" w:firstLineChars="0"/>
            <w:rPr>
              <w:rFonts w:ascii="仿宋" w:hAnsi="仿宋"/>
              <w:sz w:val="21"/>
              <w14:ligatures w14:val="standardContextual"/>
            </w:rPr>
          </w:pPr>
          <w:r>
            <w:fldChar w:fldCharType="begin"/>
          </w:r>
          <w:r>
            <w:instrText xml:space="preserve"> HYPERLINK \l "_Toc157760710" </w:instrText>
          </w:r>
          <w:r>
            <w:fldChar w:fldCharType="separate"/>
          </w:r>
          <w:r>
            <w:rPr>
              <w:rStyle w:val="17"/>
              <w:rFonts w:ascii="仿宋" w:hAnsi="仿宋" w:cs="Times New Roman"/>
            </w:rPr>
            <w:t>二、提供实时充电情况，解决充电桩损坏问题</w:t>
          </w:r>
          <w:r>
            <w:rPr>
              <w:rFonts w:ascii="仿宋" w:hAnsi="仿宋"/>
            </w:rPr>
            <w:tab/>
          </w:r>
          <w:r>
            <w:rPr>
              <w:rFonts w:ascii="仿宋" w:hAnsi="仿宋"/>
            </w:rPr>
            <w:fldChar w:fldCharType="begin"/>
          </w:r>
          <w:r>
            <w:rPr>
              <w:rFonts w:ascii="仿宋" w:hAnsi="仿宋"/>
            </w:rPr>
            <w:instrText xml:space="preserve"> PAGEREF _Toc157760710 \h </w:instrText>
          </w:r>
          <w:r>
            <w:rPr>
              <w:rFonts w:ascii="仿宋" w:hAnsi="仿宋"/>
            </w:rPr>
            <w:fldChar w:fldCharType="separate"/>
          </w:r>
          <w:r>
            <w:rPr>
              <w:rFonts w:ascii="仿宋" w:hAnsi="仿宋"/>
            </w:rPr>
            <w:t>37</w:t>
          </w:r>
          <w:r>
            <w:rPr>
              <w:rFonts w:ascii="仿宋" w:hAnsi="仿宋"/>
            </w:rPr>
            <w:fldChar w:fldCharType="end"/>
          </w:r>
          <w:r>
            <w:rPr>
              <w:rFonts w:ascii="仿宋" w:hAnsi="仿宋"/>
            </w:rPr>
            <w:fldChar w:fldCharType="end"/>
          </w:r>
        </w:p>
        <w:p>
          <w:pPr>
            <w:pStyle w:val="12"/>
            <w:tabs>
              <w:tab w:val="right" w:leader="dot" w:pos="8296"/>
            </w:tabs>
            <w:ind w:left="640" w:firstLine="0" w:firstLineChars="0"/>
            <w:rPr>
              <w:rFonts w:ascii="仿宋" w:hAnsi="仿宋"/>
              <w:sz w:val="21"/>
              <w14:ligatures w14:val="standardContextual"/>
            </w:rPr>
          </w:pPr>
          <w:r>
            <w:fldChar w:fldCharType="begin"/>
          </w:r>
          <w:r>
            <w:instrText xml:space="preserve"> HYPERLINK \l "_Toc157760711" </w:instrText>
          </w:r>
          <w:r>
            <w:fldChar w:fldCharType="separate"/>
          </w:r>
          <w:r>
            <w:rPr>
              <w:rStyle w:val="17"/>
              <w:rFonts w:ascii="仿宋" w:hAnsi="仿宋" w:cs="Times New Roman"/>
            </w:rPr>
            <w:t>三、完善电价调控机制，推动充电单价标准化</w:t>
          </w:r>
          <w:r>
            <w:rPr>
              <w:rFonts w:ascii="仿宋" w:hAnsi="仿宋"/>
            </w:rPr>
            <w:tab/>
          </w:r>
          <w:r>
            <w:rPr>
              <w:rFonts w:ascii="仿宋" w:hAnsi="仿宋"/>
            </w:rPr>
            <w:fldChar w:fldCharType="begin"/>
          </w:r>
          <w:r>
            <w:rPr>
              <w:rFonts w:ascii="仿宋" w:hAnsi="仿宋"/>
            </w:rPr>
            <w:instrText xml:space="preserve"> PAGEREF _Toc157760711 \h </w:instrText>
          </w:r>
          <w:r>
            <w:rPr>
              <w:rFonts w:ascii="仿宋" w:hAnsi="仿宋"/>
            </w:rPr>
            <w:fldChar w:fldCharType="separate"/>
          </w:r>
          <w:r>
            <w:rPr>
              <w:rFonts w:ascii="仿宋" w:hAnsi="仿宋"/>
            </w:rPr>
            <w:t>38</w:t>
          </w:r>
          <w:r>
            <w:rPr>
              <w:rFonts w:ascii="仿宋" w:hAnsi="仿宋"/>
            </w:rPr>
            <w:fldChar w:fldCharType="end"/>
          </w:r>
          <w:r>
            <w:rPr>
              <w:rFonts w:ascii="仿宋" w:hAnsi="仿宋"/>
            </w:rPr>
            <w:fldChar w:fldCharType="end"/>
          </w:r>
        </w:p>
        <w:p>
          <w:pPr>
            <w:pStyle w:val="12"/>
            <w:tabs>
              <w:tab w:val="right" w:leader="dot" w:pos="8296"/>
            </w:tabs>
            <w:ind w:left="640" w:firstLine="0" w:firstLineChars="0"/>
            <w:rPr>
              <w:rFonts w:ascii="仿宋" w:hAnsi="仿宋"/>
              <w:sz w:val="21"/>
              <w14:ligatures w14:val="standardContextual"/>
            </w:rPr>
          </w:pPr>
          <w:r>
            <w:fldChar w:fldCharType="begin"/>
          </w:r>
          <w:r>
            <w:instrText xml:space="preserve"> HYPERLINK \l "_Toc157760712" </w:instrText>
          </w:r>
          <w:r>
            <w:fldChar w:fldCharType="separate"/>
          </w:r>
          <w:r>
            <w:rPr>
              <w:rStyle w:val="17"/>
              <w:rFonts w:ascii="仿宋" w:hAnsi="仿宋" w:cs="Times New Roman"/>
            </w:rPr>
            <w:t>四、合理评估充电设施，科学布局充电桩建设</w:t>
          </w:r>
          <w:r>
            <w:rPr>
              <w:rFonts w:ascii="仿宋" w:hAnsi="仿宋"/>
            </w:rPr>
            <w:tab/>
          </w:r>
          <w:r>
            <w:rPr>
              <w:rFonts w:ascii="仿宋" w:hAnsi="仿宋"/>
            </w:rPr>
            <w:fldChar w:fldCharType="begin"/>
          </w:r>
          <w:r>
            <w:rPr>
              <w:rFonts w:ascii="仿宋" w:hAnsi="仿宋"/>
            </w:rPr>
            <w:instrText xml:space="preserve"> PAGEREF _Toc157760712 \h </w:instrText>
          </w:r>
          <w:r>
            <w:rPr>
              <w:rFonts w:ascii="仿宋" w:hAnsi="仿宋"/>
            </w:rPr>
            <w:fldChar w:fldCharType="separate"/>
          </w:r>
          <w:r>
            <w:rPr>
              <w:rFonts w:ascii="仿宋" w:hAnsi="仿宋"/>
            </w:rPr>
            <w:t>38</w:t>
          </w:r>
          <w:r>
            <w:rPr>
              <w:rFonts w:ascii="仿宋" w:hAnsi="仿宋"/>
            </w:rPr>
            <w:fldChar w:fldCharType="end"/>
          </w:r>
          <w:r>
            <w:rPr>
              <w:rFonts w:ascii="仿宋" w:hAnsi="仿宋"/>
            </w:rPr>
            <w:fldChar w:fldCharType="end"/>
          </w:r>
        </w:p>
        <w:p>
          <w:pPr>
            <w:pStyle w:val="10"/>
            <w:tabs>
              <w:tab w:val="right" w:leader="dot" w:pos="8296"/>
            </w:tabs>
            <w:ind w:firstLine="0" w:firstLineChars="0"/>
            <w:rPr>
              <w:rFonts w:ascii="仿宋" w:hAnsi="仿宋"/>
              <w:sz w:val="21"/>
              <w14:ligatures w14:val="standardContextual"/>
            </w:rPr>
          </w:pPr>
          <w:r>
            <w:fldChar w:fldCharType="begin"/>
          </w:r>
          <w:r>
            <w:instrText xml:space="preserve"> HYPERLINK \l "_Toc157760713" </w:instrText>
          </w:r>
          <w:r>
            <w:fldChar w:fldCharType="separate"/>
          </w:r>
          <w:r>
            <w:rPr>
              <w:rStyle w:val="17"/>
              <w:rFonts w:ascii="仿宋" w:hAnsi="仿宋" w:cs="Times New Roman"/>
            </w:rPr>
            <w:t>附件：2023年佛山市电动汽车充电服务调查问卷</w:t>
          </w:r>
          <w:r>
            <w:rPr>
              <w:rFonts w:ascii="仿宋" w:hAnsi="仿宋"/>
            </w:rPr>
            <w:tab/>
          </w:r>
          <w:r>
            <w:rPr>
              <w:rFonts w:ascii="仿宋" w:hAnsi="仿宋"/>
            </w:rPr>
            <w:fldChar w:fldCharType="begin"/>
          </w:r>
          <w:r>
            <w:rPr>
              <w:rFonts w:ascii="仿宋" w:hAnsi="仿宋"/>
            </w:rPr>
            <w:instrText xml:space="preserve"> PAGEREF _Toc157760713 \h </w:instrText>
          </w:r>
          <w:r>
            <w:rPr>
              <w:rFonts w:ascii="仿宋" w:hAnsi="仿宋"/>
            </w:rPr>
            <w:fldChar w:fldCharType="separate"/>
          </w:r>
          <w:r>
            <w:rPr>
              <w:rFonts w:ascii="仿宋" w:hAnsi="仿宋"/>
            </w:rPr>
            <w:t>40</w:t>
          </w:r>
          <w:r>
            <w:rPr>
              <w:rFonts w:ascii="仿宋" w:hAnsi="仿宋"/>
            </w:rPr>
            <w:fldChar w:fldCharType="end"/>
          </w:r>
          <w:r>
            <w:rPr>
              <w:rFonts w:ascii="仿宋" w:hAnsi="仿宋"/>
            </w:rPr>
            <w:fldChar w:fldCharType="end"/>
          </w:r>
        </w:p>
        <w:p>
          <w:pPr>
            <w:ind w:firstLine="0" w:firstLineChars="0"/>
            <w:rPr>
              <w:rFonts w:ascii="仿宋" w:hAnsi="仿宋"/>
              <w:szCs w:val="32"/>
            </w:rPr>
          </w:pPr>
          <w:r>
            <w:rPr>
              <w:rFonts w:hint="eastAsia" w:ascii="仿宋" w:hAnsi="仿宋"/>
              <w:bCs/>
              <w:szCs w:val="32"/>
              <w:lang w:val="zh-CN"/>
            </w:rPr>
            <w:fldChar w:fldCharType="end"/>
          </w:r>
        </w:p>
      </w:sdtContent>
    </w:sdt>
    <w:p>
      <w:pPr>
        <w:pStyle w:val="2"/>
        <w:spacing w:after="156"/>
        <w:ind w:firstLine="643"/>
        <w:sectPr>
          <w:footerReference r:id="rId11" w:type="default"/>
          <w:pgSz w:w="11906" w:h="16838"/>
          <w:pgMar w:top="1440" w:right="1800" w:bottom="1440" w:left="1800" w:header="851" w:footer="992" w:gutter="0"/>
          <w:pgNumType w:fmt="upperRoman" w:start="1"/>
          <w:cols w:space="425" w:num="1"/>
          <w:docGrid w:type="lines" w:linePitch="312" w:charSpace="0"/>
        </w:sectPr>
      </w:pPr>
    </w:p>
    <w:p>
      <w:pPr>
        <w:pStyle w:val="2"/>
        <w:spacing w:after="156"/>
        <w:ind w:firstLine="0" w:firstLineChars="0"/>
      </w:pPr>
      <w:bookmarkStart w:id="0" w:name="_Toc157760673"/>
      <w:r>
        <w:rPr>
          <w:rFonts w:hint="eastAsia"/>
        </w:rPr>
        <w:t>第一部分：调查概况</w:t>
      </w:r>
      <w:bookmarkEnd w:id="0"/>
    </w:p>
    <w:p>
      <w:pPr>
        <w:pStyle w:val="3"/>
        <w:spacing w:line="560" w:lineRule="exact"/>
        <w:ind w:firstLine="640"/>
        <w:rPr>
          <w:rFonts w:ascii="楷体_GB2312" w:hAnsi="楷体_GB2312" w:eastAsia="楷体_GB2312" w:cs="楷体_GB2312"/>
        </w:rPr>
      </w:pPr>
      <w:bookmarkStart w:id="1" w:name="_Toc118381503"/>
      <w:bookmarkStart w:id="2" w:name="_Toc157760674"/>
      <w:r>
        <w:rPr>
          <w:rFonts w:hint="eastAsia" w:ascii="楷体_GB2312" w:hAnsi="楷体_GB2312" w:eastAsia="楷体_GB2312" w:cs="楷体_GB2312"/>
        </w:rPr>
        <w:t>一、调查背景</w:t>
      </w:r>
      <w:bookmarkEnd w:id="1"/>
      <w:bookmarkEnd w:id="2"/>
    </w:p>
    <w:p>
      <w:pPr>
        <w:ind w:firstLine="640"/>
      </w:pPr>
      <w:r>
        <w:t>充电基础设施是指为电动汽车提供电能补给的各类充电设施，是新型的城市基础设施。为加快电动汽车充电基础设施建设，国务院办公厅印发《关于加快电动汽车充电基础设施建设的指导意见》（国办发</w:t>
      </w:r>
      <w:r>
        <w:rPr>
          <w:rFonts w:cs="Times New Roman"/>
        </w:rPr>
        <w:t>〔2015〕73</w:t>
      </w:r>
      <w:r>
        <w:t>号）</w:t>
      </w:r>
      <w:r>
        <w:rPr>
          <w:rFonts w:hint="eastAsia"/>
        </w:rPr>
        <w:t>，</w:t>
      </w:r>
      <w:r>
        <w:t>《意见》指出，大力推进充电基础设施建设，有利于解决电动汽车充电难题，是发展新能源汽车产业的重要保障，对于打造大众创业、万众创新和增加公共产品、公共服务“双引擎”，实现稳增长、调结构、惠民生具有重要意义。</w:t>
      </w:r>
    </w:p>
    <w:p>
      <w:pPr>
        <w:ind w:firstLine="640"/>
      </w:pPr>
      <w:r>
        <w:t>为推动新能源汽车产业高质量发展，加快建设汽车强国，国务院办公厅制定《新能源汽车产业发展规划（</w:t>
      </w:r>
      <w:r>
        <w:rPr>
          <w:rFonts w:cs="Times New Roman"/>
        </w:rPr>
        <w:t>2021—2035</w:t>
      </w:r>
      <w:r>
        <w:t>年）》（国办发</w:t>
      </w:r>
      <w:r>
        <w:rPr>
          <w:rFonts w:cs="Times New Roman"/>
        </w:rPr>
        <w:t>〔2020〕39</w:t>
      </w:r>
      <w:r>
        <w:t>号）。为全面贯彻落实发展规划要求，支撑新能源汽车产业发展，突破充电基础设施发展瓶颈，推动构建新型电力系统，助力“双碳”目标实现，国家发展改革委等部门印发</w:t>
      </w:r>
      <w:r>
        <w:rPr>
          <w:color w:val="000000"/>
        </w:rPr>
        <w:t>《关于进一步提升电动汽车充电基础设施服务保障能力的实施意见》</w:t>
      </w:r>
      <w:r>
        <w:rPr>
          <w:szCs w:val="32"/>
          <w:shd w:val="clear" w:color="auto" w:fill="FFFFFF"/>
        </w:rPr>
        <w:t>（发改能源规</w:t>
      </w:r>
      <w:r>
        <w:rPr>
          <w:rFonts w:cs="Times New Roman"/>
          <w:szCs w:val="32"/>
          <w:shd w:val="clear" w:color="auto" w:fill="FFFFFF"/>
        </w:rPr>
        <w:t>〔2022〕53</w:t>
      </w:r>
      <w:r>
        <w:rPr>
          <w:szCs w:val="32"/>
          <w:shd w:val="clear" w:color="auto" w:fill="FFFFFF"/>
        </w:rPr>
        <w:t>号）</w:t>
      </w:r>
      <w:r>
        <w:rPr>
          <w:sz w:val="24"/>
          <w:szCs w:val="24"/>
        </w:rPr>
        <w:t xml:space="preserve"> </w:t>
      </w:r>
      <w:r>
        <w:rPr>
          <w:color w:val="000000"/>
        </w:rPr>
        <w:t>，要求进一步提升充电服务保障能力。</w:t>
      </w:r>
    </w:p>
    <w:p>
      <w:pPr>
        <w:ind w:firstLine="640"/>
        <w:rPr>
          <w:color w:val="000000"/>
        </w:rPr>
      </w:pPr>
      <w:r>
        <w:t>为进一步构建高质量充电基础设施体系，更好支撑新能源汽车产业发展，促进汽车等大宗消费，助力实现碳达峰</w:t>
      </w:r>
      <w:r>
        <w:rPr>
          <w:rFonts w:hint="eastAsia"/>
        </w:rPr>
        <w:t>、</w:t>
      </w:r>
      <w:r>
        <w:t>碳中和目标，国务院办公厅印发《关于进一步构建高质量充电基础设施体系的指导意见》</w:t>
      </w:r>
      <w:r>
        <w:rPr>
          <w:szCs w:val="32"/>
        </w:rPr>
        <w:t>（</w:t>
      </w:r>
      <w:r>
        <w:rPr>
          <w:szCs w:val="32"/>
          <w:shd w:val="clear" w:color="auto" w:fill="FFFFFF"/>
        </w:rPr>
        <w:t>国办发</w:t>
      </w:r>
      <w:r>
        <w:rPr>
          <w:rFonts w:cs="Times New Roman"/>
          <w:szCs w:val="32"/>
          <w:shd w:val="clear" w:color="auto" w:fill="FFFFFF"/>
        </w:rPr>
        <w:t>〔2023〕19</w:t>
      </w:r>
      <w:r>
        <w:rPr>
          <w:szCs w:val="32"/>
          <w:shd w:val="clear" w:color="auto" w:fill="FFFFFF"/>
        </w:rPr>
        <w:t>号）</w:t>
      </w:r>
      <w:r>
        <w:rPr>
          <w:rFonts w:hint="eastAsia"/>
        </w:rPr>
        <w:t>，</w:t>
      </w:r>
      <w:r>
        <w:t>提出到</w:t>
      </w:r>
      <w:r>
        <w:rPr>
          <w:rFonts w:cs="Times New Roman"/>
        </w:rPr>
        <w:t>2030</w:t>
      </w:r>
      <w:r>
        <w:t>年，基本建成覆盖广泛、规模适度、结构合理、功能完善的高质量充电基础设施体系，有力支撑新能源汽车产业发展，有效满足人民群众出行充电需求。</w:t>
      </w:r>
    </w:p>
    <w:p>
      <w:pPr>
        <w:ind w:firstLine="640"/>
        <w:rPr>
          <w:rFonts w:cs="Times New Roman"/>
        </w:rPr>
      </w:pPr>
      <w:r>
        <w:rPr>
          <w:rFonts w:cs="Times New Roman"/>
        </w:rPr>
        <w:t>2023年5月29日，广东省人民政府发布《新时代广东高质量发展的若干意见》（以下简称《意见》）。新能源汽车方面，《意见》提到，支持新能源汽车消费，加强停车场、充电桩、换电站、加氢站等配套设施建设。</w:t>
      </w:r>
    </w:p>
    <w:p>
      <w:pPr>
        <w:ind w:firstLine="640"/>
        <w:rPr>
          <w:rFonts w:cs="Times New Roman"/>
        </w:rPr>
      </w:pPr>
      <w:r>
        <w:rPr>
          <w:rFonts w:cs="Times New Roman"/>
        </w:rPr>
        <w:t>近年来，佛山市认真贯彻落实国家、广东省决策部署，不断加大政策支持力度，积极推动电动汽车充电基础设施建设，充电基础设施网络和支撑体系逐步完善，充电运营服务能力不断增强。2022年，佛山市编制《佛山市电动汽车充电基础设施“十四五”规划》，明确加快公共充电基础设施建设，支持公交、出租、环卫物流等企业建设集中式充电站，并鼓励对外提供公共充电服务。同时，落实财政补贴，加快落实中央、省级和地方关于充电基础设施的补贴发放，降低充电基础设施投资成本，加快佛山电动汽车充电基础设施布局。</w:t>
      </w:r>
    </w:p>
    <w:p>
      <w:pPr>
        <w:ind w:firstLine="640"/>
      </w:pPr>
      <w:r>
        <w:rPr>
          <w:rFonts w:cs="Times New Roman"/>
        </w:rPr>
        <w:t>当前佛山市仍存在居住社区建桩难、公共充电基础设施发展不均衡、用户充电体验有待提升等问题。在此背景下，佛山市消费者委员会拟开展佛山市电动汽车充电服务调查项目，旨在了解佛山市电动汽车充电服务的现状和问题，探讨如何提高充电服务质量和服务水平，以满足电动汽车用户日益增长的充电需求。通过对电动汽车充电服务的调查，以期为未来佛山市电动汽车充电服务的优化提供数据支撑和参考建议，进一步为电动汽车用户提供更加便捷、高效、优质的充电服务</w:t>
      </w:r>
      <w:r>
        <w:t>。同时，这也是落实国家加快推进电动汽车充电基础设施建设的重要举措，有助于促进电动汽车产业的健康发展和推动佛山市经济转型升级。</w:t>
      </w:r>
    </w:p>
    <w:p>
      <w:pPr>
        <w:widowControl/>
        <w:spacing w:line="240" w:lineRule="auto"/>
        <w:ind w:firstLine="0" w:firstLineChars="0"/>
        <w:jc w:val="left"/>
        <w:rPr>
          <w:rFonts w:ascii="仿宋_GB2312" w:hAnsi="仿宋_GB2312" w:eastAsia="仿宋_GB2312" w:cs="仿宋_GB2312"/>
          <w:b/>
          <w:bCs/>
          <w:szCs w:val="32"/>
        </w:rPr>
      </w:pPr>
      <w:bookmarkStart w:id="3" w:name="_Toc118381504"/>
      <w:r>
        <w:rPr>
          <w:rFonts w:ascii="仿宋_GB2312" w:hAnsi="仿宋_GB2312" w:eastAsia="仿宋_GB2312" w:cs="仿宋_GB2312"/>
        </w:rPr>
        <w:br w:type="page"/>
      </w:r>
    </w:p>
    <w:p>
      <w:pPr>
        <w:pStyle w:val="3"/>
        <w:spacing w:line="560" w:lineRule="exact"/>
        <w:ind w:firstLine="640"/>
        <w:rPr>
          <w:rFonts w:eastAsia="楷体_GB2312" w:cs="Times New Roman"/>
        </w:rPr>
      </w:pPr>
      <w:bookmarkStart w:id="4" w:name="_Toc157760675"/>
      <w:r>
        <w:rPr>
          <w:rFonts w:eastAsia="楷体_GB2312" w:cs="Times New Roman"/>
        </w:rPr>
        <w:t>二、调查方式及样本回收情况</w:t>
      </w:r>
      <w:bookmarkEnd w:id="3"/>
      <w:bookmarkEnd w:id="4"/>
    </w:p>
    <w:p>
      <w:pPr>
        <w:ind w:firstLine="640"/>
        <w:rPr>
          <w:rFonts w:eastAsia="仿宋_GB2312" w:cs="Times New Roman"/>
          <w:bCs/>
          <w:szCs w:val="32"/>
        </w:rPr>
      </w:pPr>
      <w:r>
        <w:rPr>
          <w:rFonts w:eastAsia="仿宋_GB2312" w:cs="Times New Roman"/>
          <w:bCs/>
          <w:szCs w:val="32"/>
        </w:rPr>
        <w:t>本项目的调查方式包括以下三种：</w:t>
      </w:r>
    </w:p>
    <w:p>
      <w:pPr>
        <w:pStyle w:val="4"/>
        <w:spacing w:before="0" w:after="0" w:line="560" w:lineRule="exact"/>
        <w:ind w:firstLine="643"/>
        <w:rPr>
          <w:rFonts w:eastAsia="仿宋_GB2312" w:cs="Times New Roman"/>
        </w:rPr>
      </w:pPr>
      <w:bookmarkStart w:id="5" w:name="_Toc157760676"/>
      <w:r>
        <w:rPr>
          <w:rFonts w:eastAsia="仿宋_GB2312" w:cs="Times New Roman"/>
        </w:rPr>
        <w:t>（一）</w:t>
      </w:r>
      <w:r>
        <w:rPr>
          <w:rFonts w:hint="eastAsia" w:eastAsia="仿宋_GB2312" w:cs="Times New Roman"/>
        </w:rPr>
        <w:t>在线</w:t>
      </w:r>
      <w:r>
        <w:rPr>
          <w:rFonts w:eastAsia="仿宋_GB2312" w:cs="Times New Roman"/>
        </w:rPr>
        <w:t>问卷调查</w:t>
      </w:r>
      <w:bookmarkEnd w:id="5"/>
    </w:p>
    <w:p>
      <w:pPr>
        <w:ind w:firstLine="640"/>
      </w:pPr>
      <w:r>
        <w:rPr>
          <w:bCs/>
        </w:rPr>
        <w:t>采用网络调查形式，</w:t>
      </w:r>
      <w:r>
        <w:t>由技术人员将问卷通过程序导入网络问卷平台生成网络问卷链接或二维码，将网络问卷链接或二维码</w:t>
      </w:r>
      <w:r>
        <w:rPr>
          <w:rFonts w:hint="eastAsia"/>
        </w:rPr>
        <w:t>，</w:t>
      </w:r>
      <w:r>
        <w:t>通过各类平台发送给被访者，被访者可通过移动手机端登录网络问卷平台，按照问卷提示逐步完成问卷填写，相关数据随即进入网络问卷后台并生成数据结果。</w:t>
      </w:r>
    </w:p>
    <w:p>
      <w:pPr>
        <w:ind w:firstLine="640"/>
        <w:rPr>
          <w:bCs/>
        </w:rPr>
      </w:pPr>
      <w:r>
        <w:rPr>
          <w:bCs/>
        </w:rPr>
        <w:t>本项目的调查主体为佛山市使用电动汽车充电服务的家庭，调查目的是为了了解充电服务的现状和问题，电动汽车充电情况、充电设施配备情况、以及充电服务满意度，找到充电服务的不足及优化措施，探讨如何提高充电服务质量和服务水平。</w:t>
      </w:r>
    </w:p>
    <w:p>
      <w:pPr>
        <w:ind w:firstLine="640"/>
        <w:rPr>
          <w:bCs/>
        </w:rPr>
      </w:pPr>
      <w:r>
        <w:rPr>
          <w:rFonts w:hint="eastAsia"/>
          <w:bCs/>
        </w:rPr>
        <w:t>在线问卷</w:t>
      </w:r>
      <w:r>
        <w:rPr>
          <w:bCs/>
        </w:rPr>
        <w:t>调查共完成有效样本2000个，覆盖佛山市五个区。</w:t>
      </w:r>
    </w:p>
    <w:p>
      <w:pPr>
        <w:pStyle w:val="4"/>
        <w:spacing w:before="0" w:after="0" w:line="560" w:lineRule="exact"/>
        <w:ind w:firstLine="643"/>
        <w:rPr>
          <w:rFonts w:eastAsia="仿宋_GB2312" w:cs="Times New Roman"/>
        </w:rPr>
      </w:pPr>
      <w:bookmarkStart w:id="6" w:name="_Toc157760677"/>
      <w:r>
        <w:rPr>
          <w:rFonts w:eastAsia="仿宋_GB2312" w:cs="Times New Roman"/>
        </w:rPr>
        <w:t>（二）拦截调查</w:t>
      </w:r>
      <w:bookmarkEnd w:id="6"/>
    </w:p>
    <w:p>
      <w:pPr>
        <w:ind w:firstLine="640"/>
      </w:pPr>
      <w:r>
        <w:t>拦截</w:t>
      </w:r>
      <w:r>
        <w:rPr>
          <w:rFonts w:hint="eastAsia"/>
        </w:rPr>
        <w:t>调查</w:t>
      </w:r>
      <w:r>
        <w:t>是由访问员到指定地点（如充电停车场内）随机拦截电动汽车车主，实地进行一对一问卷调查，采用PAD如实记录受访者的回答。</w:t>
      </w:r>
    </w:p>
    <w:p>
      <w:pPr>
        <w:ind w:firstLine="640"/>
        <w:rPr>
          <w:bCs/>
        </w:rPr>
      </w:pPr>
      <w:r>
        <w:rPr>
          <w:rFonts w:hint="eastAsia"/>
          <w:bCs/>
        </w:rPr>
        <w:t>拦截</w:t>
      </w:r>
      <w:r>
        <w:rPr>
          <w:bCs/>
        </w:rPr>
        <w:t>调查共完成有效样本1000个，覆盖佛山市五个区。</w:t>
      </w:r>
    </w:p>
    <w:p>
      <w:pPr>
        <w:pStyle w:val="4"/>
        <w:spacing w:before="0" w:after="0" w:line="560" w:lineRule="exact"/>
        <w:ind w:firstLine="643"/>
        <w:rPr>
          <w:rFonts w:ascii="仿宋_GB2312" w:hAnsi="仿宋_GB2312" w:eastAsia="仿宋_GB2312" w:cs="仿宋_GB2312"/>
        </w:rPr>
      </w:pPr>
      <w:bookmarkStart w:id="7" w:name="_Toc157760678"/>
      <w:r>
        <w:rPr>
          <w:rFonts w:ascii="仿宋_GB2312" w:hAnsi="仿宋_GB2312" w:eastAsia="仿宋_GB2312" w:cs="仿宋_GB2312"/>
        </w:rPr>
        <w:t>（三）体验式调查</w:t>
      </w:r>
      <w:bookmarkEnd w:id="7"/>
    </w:p>
    <w:p>
      <w:pPr>
        <w:ind w:firstLine="640"/>
        <w:rPr>
          <w:rFonts w:eastAsia="仿宋_GB2312" w:cs="Times New Roman"/>
          <w:bCs/>
          <w:szCs w:val="32"/>
        </w:rPr>
      </w:pPr>
      <w:r>
        <w:rPr>
          <w:rFonts w:eastAsia="仿宋_GB2312" w:cs="Times New Roman"/>
          <w:bCs/>
          <w:szCs w:val="32"/>
        </w:rPr>
        <w:t>采用</w:t>
      </w:r>
      <w:r>
        <w:rPr>
          <w:rFonts w:eastAsia="仿宋_GB2312" w:cs="Times New Roman"/>
          <w:szCs w:val="32"/>
        </w:rPr>
        <w:t>体验式调查</w:t>
      </w:r>
      <w:r>
        <w:rPr>
          <w:rFonts w:eastAsia="仿宋_GB2312" w:cs="Times New Roman"/>
          <w:bCs/>
          <w:szCs w:val="32"/>
        </w:rPr>
        <w:t>形式，组织不同的专业体验员到佛山市5个区的7个充电品牌充电站，亲身体察电动汽车充电站的情况，包括到达、充电、付款、离开以及综合体验，以拍照、记录等方式反映充电站存在的问题。</w:t>
      </w:r>
      <w:r>
        <w:rPr>
          <w:rFonts w:eastAsia="仿宋_GB2312" w:cs="Times New Roman"/>
          <w:szCs w:val="32"/>
        </w:rPr>
        <w:t>从停车费的合理化、充电桩数量的饱和度、充电桩品牌的配适度、不同时段充电</w:t>
      </w:r>
      <w:r>
        <w:rPr>
          <w:rFonts w:hint="eastAsia" w:eastAsia="仿宋_GB2312" w:cs="Times New Roman"/>
          <w:szCs w:val="32"/>
        </w:rPr>
        <w:t>汽</w:t>
      </w:r>
      <w:r>
        <w:rPr>
          <w:rFonts w:eastAsia="仿宋_GB2312" w:cs="Times New Roman"/>
          <w:szCs w:val="32"/>
        </w:rPr>
        <w:t>车数量等多维度测试。</w:t>
      </w:r>
    </w:p>
    <w:p>
      <w:pPr>
        <w:ind w:firstLine="640"/>
        <w:rPr>
          <w:rFonts w:eastAsia="仿宋_GB2312" w:cs="Times New Roman"/>
          <w:bCs/>
          <w:szCs w:val="32"/>
        </w:rPr>
      </w:pPr>
      <w:r>
        <w:rPr>
          <w:rFonts w:hint="eastAsia" w:eastAsia="仿宋_GB2312" w:cs="Times New Roman"/>
          <w:bCs/>
          <w:szCs w:val="32"/>
        </w:rPr>
        <w:t>体验式</w:t>
      </w:r>
      <w:r>
        <w:rPr>
          <w:rFonts w:eastAsia="仿宋_GB2312" w:cs="Times New Roman"/>
          <w:bCs/>
          <w:szCs w:val="32"/>
        </w:rPr>
        <w:t>调查共完成有效样本100个。</w:t>
      </w:r>
    </w:p>
    <w:p>
      <w:pPr>
        <w:pStyle w:val="7"/>
        <w:ind w:firstLine="360"/>
        <w:rPr>
          <w:rFonts w:ascii="Times New Roman" w:hAnsi="Times New Roman" w:cs="Times New Roman"/>
        </w:rPr>
      </w:pPr>
      <w:bookmarkStart w:id="8" w:name="_Toc118381505"/>
      <w:r>
        <w:rPr>
          <w:rFonts w:ascii="Times New Roman" w:hAnsi="Times New Roman" w:cs="Times New Roman"/>
        </w:rPr>
        <w:t xml:space="preserve">表 </w:t>
      </w:r>
      <w:r>
        <w:rPr>
          <w:rFonts w:ascii="Times New Roman" w:hAnsi="Times New Roman" w:cs="Times New Roman"/>
        </w:rPr>
        <w:fldChar w:fldCharType="begin"/>
      </w:r>
      <w:r>
        <w:rPr>
          <w:rFonts w:ascii="Times New Roman" w:hAnsi="Times New Roman" w:cs="Times New Roman"/>
        </w:rPr>
        <w:instrText xml:space="preserve"> SEQ 表 \* ARABIC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t> 有效样本区域分布</w:t>
      </w:r>
    </w:p>
    <w:tbl>
      <w:tblPr>
        <w:tblStyle w:val="14"/>
        <w:tblpPr w:leftFromText="180" w:rightFromText="180" w:vertAnchor="text" w:tblpXSpec="center" w:tblpY="10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shd w:val="clear" w:color="auto" w:fill="E36C09" w:themeFill="accent6" w:themeFillShade="BF"/>
            <w:vAlign w:val="center"/>
          </w:tcPr>
          <w:p>
            <w:pPr>
              <w:pStyle w:val="7"/>
              <w:rPr>
                <w:rFonts w:ascii="Times New Roman" w:hAnsi="Times New Roman" w:cs="Times New Roman"/>
                <w:b/>
                <w:bCs/>
                <w:color w:val="FFFFFF" w:themeColor="background1"/>
              </w:rPr>
            </w:pPr>
            <w:r>
              <w:rPr>
                <w:rFonts w:ascii="Times New Roman" w:hAnsi="Times New Roman" w:cs="Times New Roman"/>
                <w:b/>
                <w:bCs/>
                <w:color w:val="FFFFFF" w:themeColor="background1"/>
              </w:rPr>
              <w:t>区域</w:t>
            </w:r>
          </w:p>
        </w:tc>
        <w:tc>
          <w:tcPr>
            <w:tcW w:w="999" w:type="pct"/>
            <w:shd w:val="clear" w:color="auto" w:fill="E36C09" w:themeFill="accent6" w:themeFillShade="BF"/>
            <w:vAlign w:val="center"/>
          </w:tcPr>
          <w:p>
            <w:pPr>
              <w:pStyle w:val="7"/>
              <w:rPr>
                <w:rFonts w:ascii="Times New Roman" w:hAnsi="Times New Roman" w:cs="Times New Roman"/>
                <w:b/>
                <w:bCs/>
                <w:color w:val="FFFFFF" w:themeColor="background1"/>
              </w:rPr>
            </w:pPr>
            <w:r>
              <w:rPr>
                <w:rFonts w:ascii="Times New Roman" w:hAnsi="Times New Roman" w:cs="Times New Roman"/>
                <w:b/>
                <w:bCs/>
                <w:color w:val="FFFFFF" w:themeColor="background1"/>
              </w:rPr>
              <w:t>总样本量</w:t>
            </w:r>
          </w:p>
        </w:tc>
        <w:tc>
          <w:tcPr>
            <w:tcW w:w="999" w:type="pct"/>
            <w:shd w:val="clear" w:color="auto" w:fill="E36C09" w:themeFill="accent6" w:themeFillShade="BF"/>
            <w:vAlign w:val="center"/>
          </w:tcPr>
          <w:p>
            <w:pPr>
              <w:pStyle w:val="7"/>
              <w:rPr>
                <w:rFonts w:ascii="Times New Roman" w:hAnsi="Times New Roman" w:cs="Times New Roman"/>
                <w:b/>
                <w:bCs/>
                <w:color w:val="FFFFFF" w:themeColor="background1"/>
              </w:rPr>
            </w:pPr>
            <w:r>
              <w:rPr>
                <w:rFonts w:hint="eastAsia" w:ascii="Times New Roman" w:hAnsi="Times New Roman" w:cs="Times New Roman"/>
                <w:b/>
                <w:bCs/>
                <w:color w:val="FFFFFF" w:themeColor="background1"/>
              </w:rPr>
              <w:t>在线</w:t>
            </w:r>
            <w:r>
              <w:rPr>
                <w:rFonts w:ascii="Times New Roman" w:hAnsi="Times New Roman" w:cs="Times New Roman"/>
                <w:b/>
                <w:bCs/>
                <w:color w:val="FFFFFF" w:themeColor="background1"/>
              </w:rPr>
              <w:t>问卷</w:t>
            </w:r>
          </w:p>
        </w:tc>
        <w:tc>
          <w:tcPr>
            <w:tcW w:w="1000" w:type="pct"/>
            <w:shd w:val="clear" w:color="auto" w:fill="E36C09" w:themeFill="accent6" w:themeFillShade="BF"/>
            <w:vAlign w:val="center"/>
          </w:tcPr>
          <w:p>
            <w:pPr>
              <w:pStyle w:val="7"/>
              <w:rPr>
                <w:rFonts w:ascii="Times New Roman" w:hAnsi="Times New Roman" w:cs="Times New Roman"/>
                <w:b/>
                <w:bCs/>
                <w:color w:val="FFFFFF" w:themeColor="background1"/>
              </w:rPr>
            </w:pPr>
            <w:r>
              <w:rPr>
                <w:rFonts w:ascii="Times New Roman" w:hAnsi="Times New Roman" w:cs="Times New Roman"/>
                <w:b/>
                <w:bCs/>
                <w:color w:val="FFFFFF" w:themeColor="background1"/>
              </w:rPr>
              <w:t>拦截</w:t>
            </w:r>
            <w:r>
              <w:rPr>
                <w:rFonts w:hint="eastAsia" w:ascii="Times New Roman" w:hAnsi="Times New Roman" w:cs="Times New Roman"/>
                <w:b/>
                <w:bCs/>
                <w:color w:val="FFFFFF" w:themeColor="background1"/>
              </w:rPr>
              <w:t>调查</w:t>
            </w:r>
          </w:p>
        </w:tc>
        <w:tc>
          <w:tcPr>
            <w:tcW w:w="1000" w:type="pct"/>
            <w:shd w:val="clear" w:color="auto" w:fill="E36C09" w:themeFill="accent6" w:themeFillShade="BF"/>
            <w:vAlign w:val="center"/>
          </w:tcPr>
          <w:p>
            <w:pPr>
              <w:pStyle w:val="7"/>
              <w:rPr>
                <w:rFonts w:ascii="Times New Roman" w:hAnsi="Times New Roman" w:cs="Times New Roman"/>
                <w:b/>
                <w:bCs/>
                <w:color w:val="FFFFFF" w:themeColor="background1"/>
              </w:rPr>
            </w:pPr>
            <w:r>
              <w:rPr>
                <w:rFonts w:ascii="Times New Roman" w:hAnsi="Times New Roman" w:cs="Times New Roman"/>
                <w:b/>
                <w:bCs/>
                <w:color w:val="FFFFFF" w:themeColor="background1"/>
              </w:rPr>
              <w:t>体验</w:t>
            </w:r>
            <w:r>
              <w:rPr>
                <w:rFonts w:hint="eastAsia" w:ascii="Times New Roman" w:hAnsi="Times New Roman" w:cs="Times New Roman"/>
                <w:b/>
                <w:bCs/>
                <w:color w:val="FFFFFF" w:themeColor="background1"/>
              </w:rPr>
              <w:t>调查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vAlign w:val="center"/>
          </w:tcPr>
          <w:p>
            <w:pPr>
              <w:pStyle w:val="7"/>
              <w:rPr>
                <w:rFonts w:ascii="Times New Roman" w:hAnsi="Times New Roman" w:cs="Times New Roman"/>
              </w:rPr>
            </w:pPr>
            <w:r>
              <w:rPr>
                <w:rFonts w:ascii="Times New Roman" w:hAnsi="Times New Roman" w:cs="Times New Roman"/>
              </w:rPr>
              <w:t>禅城区</w:t>
            </w:r>
          </w:p>
        </w:tc>
        <w:tc>
          <w:tcPr>
            <w:tcW w:w="999" w:type="pct"/>
            <w:vAlign w:val="center"/>
          </w:tcPr>
          <w:p>
            <w:pPr>
              <w:pStyle w:val="7"/>
              <w:rPr>
                <w:rFonts w:ascii="Times New Roman" w:hAnsi="Times New Roman" w:cs="Times New Roman"/>
              </w:rPr>
            </w:pPr>
            <w:r>
              <w:rPr>
                <w:rFonts w:ascii="Times New Roman" w:hAnsi="Times New Roman" w:cs="Times New Roman"/>
              </w:rPr>
              <w:t>379</w:t>
            </w:r>
          </w:p>
        </w:tc>
        <w:tc>
          <w:tcPr>
            <w:tcW w:w="999" w:type="pct"/>
            <w:vAlign w:val="center"/>
          </w:tcPr>
          <w:p>
            <w:pPr>
              <w:pStyle w:val="7"/>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80</w:t>
            </w:r>
          </w:p>
        </w:tc>
        <w:tc>
          <w:tcPr>
            <w:tcW w:w="1000" w:type="pct"/>
            <w:vAlign w:val="center"/>
          </w:tcPr>
          <w:p>
            <w:pPr>
              <w:pStyle w:val="7"/>
              <w:rPr>
                <w:rFonts w:ascii="Times New Roman" w:hAnsi="Times New Roman" w:cs="Times New Roman"/>
              </w:rPr>
            </w:pPr>
            <w:r>
              <w:rPr>
                <w:rFonts w:hint="eastAsia" w:ascii="Times New Roman" w:hAnsi="Times New Roman" w:cs="Times New Roman"/>
              </w:rPr>
              <w:t>8</w:t>
            </w:r>
            <w:r>
              <w:rPr>
                <w:rFonts w:ascii="Times New Roman" w:hAnsi="Times New Roman" w:cs="Times New Roman"/>
              </w:rPr>
              <w:t>4</w:t>
            </w:r>
          </w:p>
        </w:tc>
        <w:tc>
          <w:tcPr>
            <w:tcW w:w="1000" w:type="pct"/>
            <w:vAlign w:val="center"/>
          </w:tcPr>
          <w:p>
            <w:pPr>
              <w:pStyle w:val="7"/>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vAlign w:val="center"/>
          </w:tcPr>
          <w:p>
            <w:pPr>
              <w:pStyle w:val="7"/>
              <w:ind w:firstLine="0" w:firstLineChars="0"/>
              <w:rPr>
                <w:rFonts w:ascii="Times New Roman" w:hAnsi="Times New Roman" w:eastAsia="仿宋_GB2312" w:cs="Times New Roman"/>
                <w:kern w:val="0"/>
                <w:sz w:val="24"/>
                <w:szCs w:val="21"/>
                <w:lang w:val="en-US" w:eastAsia="zh-CN" w:bidi="ar-SA"/>
              </w:rPr>
            </w:pPr>
            <w:r>
              <w:rPr>
                <w:rFonts w:ascii="Times New Roman" w:hAnsi="Times New Roman" w:cs="Times New Roman"/>
              </w:rPr>
              <w:t>南海区</w:t>
            </w:r>
          </w:p>
        </w:tc>
        <w:tc>
          <w:tcPr>
            <w:tcW w:w="999" w:type="pct"/>
            <w:vAlign w:val="center"/>
          </w:tcPr>
          <w:p>
            <w:pPr>
              <w:pStyle w:val="7"/>
              <w:ind w:firstLine="0" w:firstLineChars="0"/>
              <w:rPr>
                <w:rFonts w:ascii="Times New Roman" w:hAnsi="Times New Roman" w:eastAsia="仿宋_GB2312" w:cs="Times New Roman"/>
                <w:kern w:val="0"/>
                <w:sz w:val="24"/>
                <w:szCs w:val="21"/>
                <w:lang w:val="en-US" w:eastAsia="zh-CN" w:bidi="ar-SA"/>
              </w:rPr>
            </w:pPr>
            <w:r>
              <w:rPr>
                <w:rFonts w:ascii="Times New Roman" w:hAnsi="Times New Roman" w:cs="Times New Roman"/>
              </w:rPr>
              <w:t>1316</w:t>
            </w:r>
          </w:p>
        </w:tc>
        <w:tc>
          <w:tcPr>
            <w:tcW w:w="999" w:type="pct"/>
            <w:vAlign w:val="center"/>
          </w:tcPr>
          <w:p>
            <w:pPr>
              <w:pStyle w:val="7"/>
              <w:ind w:firstLine="0" w:firstLineChars="0"/>
              <w:rPr>
                <w:rFonts w:hint="eastAsia" w:ascii="Times New Roman" w:hAnsi="Times New Roman" w:eastAsia="仿宋_GB2312" w:cs="Times New Roman"/>
                <w:kern w:val="0"/>
                <w:sz w:val="24"/>
                <w:szCs w:val="21"/>
                <w:lang w:val="en-US" w:eastAsia="zh-CN" w:bidi="ar-SA"/>
              </w:rPr>
            </w:pPr>
            <w:r>
              <w:rPr>
                <w:rFonts w:hint="eastAsia" w:ascii="Times New Roman" w:hAnsi="Times New Roman" w:cs="Times New Roman"/>
              </w:rPr>
              <w:t>7</w:t>
            </w:r>
            <w:r>
              <w:rPr>
                <w:rFonts w:ascii="Times New Roman" w:hAnsi="Times New Roman" w:cs="Times New Roman"/>
              </w:rPr>
              <w:t>60</w:t>
            </w:r>
          </w:p>
        </w:tc>
        <w:tc>
          <w:tcPr>
            <w:tcW w:w="1000" w:type="pct"/>
            <w:vAlign w:val="center"/>
          </w:tcPr>
          <w:p>
            <w:pPr>
              <w:pStyle w:val="7"/>
              <w:ind w:firstLine="0" w:firstLineChars="0"/>
              <w:rPr>
                <w:rFonts w:hint="eastAsia" w:ascii="Times New Roman" w:hAnsi="Times New Roman" w:eastAsia="仿宋_GB2312" w:cs="Times New Roman"/>
                <w:kern w:val="0"/>
                <w:sz w:val="24"/>
                <w:szCs w:val="21"/>
                <w:lang w:val="en-US" w:eastAsia="zh-CN" w:bidi="ar-SA"/>
              </w:rPr>
            </w:pPr>
            <w:r>
              <w:rPr>
                <w:rFonts w:hint="eastAsia" w:ascii="Times New Roman" w:hAnsi="Times New Roman" w:cs="Times New Roman"/>
              </w:rPr>
              <w:t>5</w:t>
            </w:r>
            <w:r>
              <w:rPr>
                <w:rFonts w:ascii="Times New Roman" w:hAnsi="Times New Roman" w:cs="Times New Roman"/>
              </w:rPr>
              <w:t>21</w:t>
            </w:r>
          </w:p>
        </w:tc>
        <w:tc>
          <w:tcPr>
            <w:tcW w:w="1000" w:type="pct"/>
            <w:vAlign w:val="center"/>
          </w:tcPr>
          <w:p>
            <w:pPr>
              <w:pStyle w:val="7"/>
              <w:ind w:firstLine="0" w:firstLineChars="0"/>
              <w:rPr>
                <w:rFonts w:hint="eastAsia" w:ascii="Times New Roman" w:hAnsi="Times New Roman" w:eastAsia="仿宋_GB2312" w:cs="Times New Roman"/>
                <w:kern w:val="0"/>
                <w:sz w:val="24"/>
                <w:szCs w:val="21"/>
                <w:lang w:val="en-US" w:eastAsia="zh-CN" w:bidi="ar-SA"/>
              </w:rPr>
            </w:pPr>
            <w:r>
              <w:rPr>
                <w:rFonts w:hint="eastAsia" w:ascii="Times New Roman" w:hAnsi="Times New Roman" w:cs="Times New Roman"/>
              </w:rPr>
              <w:t>3</w:t>
            </w:r>
            <w:r>
              <w:rPr>
                <w:rFonts w:ascii="Times New Roman" w:hAnsi="Times New Roman" w:cs="Times New Roma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vAlign w:val="center"/>
          </w:tcPr>
          <w:p>
            <w:pPr>
              <w:pStyle w:val="7"/>
              <w:rPr>
                <w:rFonts w:ascii="Times New Roman" w:hAnsi="Times New Roman" w:cs="Times New Roman"/>
              </w:rPr>
            </w:pPr>
            <w:r>
              <w:rPr>
                <w:rFonts w:ascii="Times New Roman" w:hAnsi="Times New Roman" w:cs="Times New Roman"/>
              </w:rPr>
              <w:t>顺德区</w:t>
            </w:r>
          </w:p>
        </w:tc>
        <w:tc>
          <w:tcPr>
            <w:tcW w:w="999" w:type="pct"/>
            <w:vAlign w:val="center"/>
          </w:tcPr>
          <w:p>
            <w:pPr>
              <w:pStyle w:val="7"/>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024</w:t>
            </w:r>
          </w:p>
        </w:tc>
        <w:tc>
          <w:tcPr>
            <w:tcW w:w="999" w:type="pct"/>
            <w:vAlign w:val="center"/>
          </w:tcPr>
          <w:p>
            <w:pPr>
              <w:pStyle w:val="7"/>
              <w:rPr>
                <w:rFonts w:ascii="Times New Roman" w:hAnsi="Times New Roman" w:cs="Times New Roman"/>
              </w:rPr>
            </w:pPr>
            <w:r>
              <w:rPr>
                <w:rFonts w:hint="eastAsia" w:ascii="Times New Roman" w:hAnsi="Times New Roman" w:cs="Times New Roman"/>
              </w:rPr>
              <w:t>6</w:t>
            </w:r>
            <w:r>
              <w:rPr>
                <w:rFonts w:ascii="Times New Roman" w:hAnsi="Times New Roman" w:cs="Times New Roman"/>
              </w:rPr>
              <w:t>80</w:t>
            </w:r>
          </w:p>
        </w:tc>
        <w:tc>
          <w:tcPr>
            <w:tcW w:w="1000" w:type="pct"/>
            <w:vAlign w:val="center"/>
          </w:tcPr>
          <w:p>
            <w:pPr>
              <w:pStyle w:val="7"/>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09</w:t>
            </w:r>
          </w:p>
        </w:tc>
        <w:tc>
          <w:tcPr>
            <w:tcW w:w="1000" w:type="pct"/>
            <w:vAlign w:val="center"/>
          </w:tcPr>
          <w:p>
            <w:pPr>
              <w:pStyle w:val="7"/>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vAlign w:val="center"/>
          </w:tcPr>
          <w:p>
            <w:pPr>
              <w:pStyle w:val="7"/>
              <w:ind w:firstLine="0" w:firstLineChars="0"/>
              <w:rPr>
                <w:rFonts w:ascii="Times New Roman" w:hAnsi="Times New Roman" w:eastAsia="仿宋_GB2312" w:cs="Times New Roman"/>
                <w:kern w:val="0"/>
                <w:sz w:val="24"/>
                <w:szCs w:val="21"/>
                <w:lang w:val="en-US" w:eastAsia="zh-CN" w:bidi="ar-SA"/>
              </w:rPr>
            </w:pPr>
            <w:r>
              <w:rPr>
                <w:rFonts w:ascii="Times New Roman" w:hAnsi="Times New Roman" w:cs="Times New Roman"/>
              </w:rPr>
              <w:t>高明区</w:t>
            </w:r>
          </w:p>
        </w:tc>
        <w:tc>
          <w:tcPr>
            <w:tcW w:w="999" w:type="pct"/>
            <w:vAlign w:val="center"/>
          </w:tcPr>
          <w:p>
            <w:pPr>
              <w:pStyle w:val="7"/>
              <w:ind w:firstLine="0" w:firstLineChars="0"/>
              <w:rPr>
                <w:rFonts w:ascii="Times New Roman" w:hAnsi="Times New Roman" w:eastAsia="仿宋_GB2312" w:cs="Times New Roman"/>
                <w:kern w:val="0"/>
                <w:sz w:val="24"/>
                <w:szCs w:val="21"/>
                <w:lang w:val="en-US" w:eastAsia="zh-CN" w:bidi="ar-SA"/>
              </w:rPr>
            </w:pPr>
            <w:r>
              <w:rPr>
                <w:rFonts w:ascii="Times New Roman" w:hAnsi="Times New Roman" w:cs="Times New Roman"/>
              </w:rPr>
              <w:t>137</w:t>
            </w:r>
          </w:p>
        </w:tc>
        <w:tc>
          <w:tcPr>
            <w:tcW w:w="999" w:type="pct"/>
            <w:vAlign w:val="center"/>
          </w:tcPr>
          <w:p>
            <w:pPr>
              <w:pStyle w:val="7"/>
              <w:ind w:firstLine="0" w:firstLineChars="0"/>
              <w:rPr>
                <w:rFonts w:hint="eastAsia" w:ascii="Times New Roman" w:hAnsi="Times New Roman" w:eastAsia="仿宋_GB2312" w:cs="Times New Roman"/>
                <w:kern w:val="0"/>
                <w:sz w:val="24"/>
                <w:szCs w:val="21"/>
                <w:lang w:val="en-US" w:eastAsia="zh-CN" w:bidi="ar-SA"/>
              </w:rPr>
            </w:pPr>
            <w:r>
              <w:rPr>
                <w:rFonts w:hint="eastAsia" w:ascii="Times New Roman" w:hAnsi="Times New Roman" w:cs="Times New Roman"/>
              </w:rPr>
              <w:t>1</w:t>
            </w:r>
            <w:r>
              <w:rPr>
                <w:rFonts w:ascii="Times New Roman" w:hAnsi="Times New Roman" w:cs="Times New Roman"/>
              </w:rPr>
              <w:t>00</w:t>
            </w:r>
          </w:p>
        </w:tc>
        <w:tc>
          <w:tcPr>
            <w:tcW w:w="1000" w:type="pct"/>
            <w:vAlign w:val="center"/>
          </w:tcPr>
          <w:p>
            <w:pPr>
              <w:pStyle w:val="7"/>
              <w:ind w:firstLine="0" w:firstLineChars="0"/>
              <w:rPr>
                <w:rFonts w:hint="eastAsia" w:ascii="Times New Roman" w:hAnsi="Times New Roman" w:eastAsia="仿宋_GB2312" w:cs="Times New Roman"/>
                <w:kern w:val="0"/>
                <w:sz w:val="24"/>
                <w:szCs w:val="21"/>
                <w:lang w:val="en-US" w:eastAsia="zh-CN" w:bidi="ar-SA"/>
              </w:rPr>
            </w:pPr>
            <w:r>
              <w:rPr>
                <w:rFonts w:hint="eastAsia" w:ascii="Times New Roman" w:hAnsi="Times New Roman" w:cs="Times New Roman"/>
              </w:rPr>
              <w:t>3</w:t>
            </w:r>
            <w:r>
              <w:rPr>
                <w:rFonts w:ascii="Times New Roman" w:hAnsi="Times New Roman" w:cs="Times New Roman"/>
              </w:rPr>
              <w:t>2</w:t>
            </w:r>
          </w:p>
        </w:tc>
        <w:tc>
          <w:tcPr>
            <w:tcW w:w="1000" w:type="pct"/>
            <w:vAlign w:val="center"/>
          </w:tcPr>
          <w:p>
            <w:pPr>
              <w:pStyle w:val="7"/>
              <w:ind w:firstLine="0" w:firstLineChars="0"/>
              <w:rPr>
                <w:rFonts w:hint="eastAsia" w:ascii="Times New Roman" w:hAnsi="Times New Roman" w:eastAsia="仿宋_GB2312" w:cs="Times New Roman"/>
                <w:kern w:val="0"/>
                <w:sz w:val="24"/>
                <w:szCs w:val="21"/>
                <w:lang w:val="en-US" w:eastAsia="zh-CN" w:bidi="ar-SA"/>
              </w:rPr>
            </w:pPr>
            <w:r>
              <w:rPr>
                <w:rFonts w:hint="eastAsia" w:ascii="Times New Roman" w:hAnsi="Times New Roman" w:cs="Times New Roma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vAlign w:val="center"/>
          </w:tcPr>
          <w:p>
            <w:pPr>
              <w:pStyle w:val="7"/>
              <w:rPr>
                <w:rFonts w:ascii="Times New Roman" w:hAnsi="Times New Roman" w:cs="Times New Roman"/>
              </w:rPr>
            </w:pPr>
            <w:r>
              <w:rPr>
                <w:rFonts w:ascii="Times New Roman" w:hAnsi="Times New Roman" w:cs="Times New Roman"/>
              </w:rPr>
              <w:t>三水区</w:t>
            </w:r>
          </w:p>
        </w:tc>
        <w:tc>
          <w:tcPr>
            <w:tcW w:w="999" w:type="pct"/>
            <w:vAlign w:val="center"/>
          </w:tcPr>
          <w:p>
            <w:pPr>
              <w:pStyle w:val="7"/>
              <w:rPr>
                <w:rFonts w:ascii="Times New Roman" w:hAnsi="Times New Roman" w:cs="Times New Roman"/>
              </w:rPr>
            </w:pPr>
            <w:r>
              <w:rPr>
                <w:rFonts w:ascii="Times New Roman" w:hAnsi="Times New Roman" w:cs="Times New Roman"/>
              </w:rPr>
              <w:t>244</w:t>
            </w:r>
          </w:p>
        </w:tc>
        <w:tc>
          <w:tcPr>
            <w:tcW w:w="999" w:type="pct"/>
            <w:vAlign w:val="center"/>
          </w:tcPr>
          <w:p>
            <w:pPr>
              <w:pStyle w:val="7"/>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80</w:t>
            </w:r>
          </w:p>
        </w:tc>
        <w:tc>
          <w:tcPr>
            <w:tcW w:w="1000" w:type="pct"/>
            <w:vAlign w:val="center"/>
          </w:tcPr>
          <w:p>
            <w:pPr>
              <w:pStyle w:val="7"/>
              <w:rPr>
                <w:rFonts w:ascii="Times New Roman" w:hAnsi="Times New Roman" w:cs="Times New Roman"/>
              </w:rPr>
            </w:pPr>
            <w:r>
              <w:rPr>
                <w:rFonts w:hint="eastAsia" w:ascii="Times New Roman" w:hAnsi="Times New Roman" w:cs="Times New Roman"/>
              </w:rPr>
              <w:t>5</w:t>
            </w:r>
            <w:r>
              <w:rPr>
                <w:rFonts w:ascii="Times New Roman" w:hAnsi="Times New Roman" w:cs="Times New Roman"/>
              </w:rPr>
              <w:t>4</w:t>
            </w:r>
          </w:p>
        </w:tc>
        <w:tc>
          <w:tcPr>
            <w:tcW w:w="1000" w:type="pct"/>
            <w:vAlign w:val="center"/>
          </w:tcPr>
          <w:p>
            <w:pPr>
              <w:pStyle w:val="7"/>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vAlign w:val="center"/>
          </w:tcPr>
          <w:p>
            <w:pPr>
              <w:pStyle w:val="7"/>
              <w:rPr>
                <w:rFonts w:ascii="Times New Roman" w:hAnsi="Times New Roman" w:cs="Times New Roman"/>
              </w:rPr>
            </w:pPr>
            <w:r>
              <w:rPr>
                <w:rFonts w:hint="eastAsia" w:ascii="Times New Roman" w:hAnsi="Times New Roman" w:cs="Times New Roman"/>
              </w:rPr>
              <w:t>合计</w:t>
            </w:r>
          </w:p>
        </w:tc>
        <w:tc>
          <w:tcPr>
            <w:tcW w:w="999" w:type="pct"/>
            <w:vAlign w:val="center"/>
          </w:tcPr>
          <w:p>
            <w:pPr>
              <w:pStyle w:val="7"/>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100</w:t>
            </w:r>
          </w:p>
        </w:tc>
        <w:tc>
          <w:tcPr>
            <w:tcW w:w="999" w:type="pct"/>
            <w:vAlign w:val="center"/>
          </w:tcPr>
          <w:p>
            <w:pPr>
              <w:pStyle w:val="7"/>
              <w:rPr>
                <w:rFonts w:ascii="Times New Roman" w:hAnsi="Times New Roman" w:cs="Times New Roman"/>
              </w:rPr>
            </w:pPr>
            <w:r>
              <w:rPr>
                <w:rFonts w:ascii="Times New Roman" w:hAnsi="Times New Roman" w:cs="Times New Roman"/>
              </w:rPr>
              <w:t>2000</w:t>
            </w:r>
          </w:p>
        </w:tc>
        <w:tc>
          <w:tcPr>
            <w:tcW w:w="1000" w:type="pct"/>
            <w:vAlign w:val="center"/>
          </w:tcPr>
          <w:p>
            <w:pPr>
              <w:pStyle w:val="7"/>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000</w:t>
            </w:r>
          </w:p>
        </w:tc>
        <w:tc>
          <w:tcPr>
            <w:tcW w:w="1000" w:type="pct"/>
            <w:vAlign w:val="center"/>
          </w:tcPr>
          <w:p>
            <w:pPr>
              <w:pStyle w:val="7"/>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00</w:t>
            </w:r>
          </w:p>
        </w:tc>
      </w:tr>
    </w:tbl>
    <w:p>
      <w:pPr>
        <w:pStyle w:val="2"/>
        <w:spacing w:after="156"/>
        <w:ind w:firstLine="643"/>
      </w:pPr>
      <w:r>
        <w:br w:type="page"/>
      </w:r>
      <w:bookmarkStart w:id="9" w:name="_Toc157760679"/>
      <w:r>
        <w:t>第二部分：</w:t>
      </w:r>
      <w:r>
        <w:rPr>
          <w:rFonts w:hint="eastAsia"/>
        </w:rPr>
        <w:t>问卷</w:t>
      </w:r>
      <w:r>
        <w:t>调查数据分析</w:t>
      </w:r>
      <w:bookmarkEnd w:id="9"/>
    </w:p>
    <w:p>
      <w:pPr>
        <w:pStyle w:val="3"/>
        <w:spacing w:line="560" w:lineRule="exact"/>
        <w:ind w:firstLine="640"/>
        <w:rPr>
          <w:rFonts w:eastAsia="楷体_GB2312" w:cs="Times New Roman"/>
        </w:rPr>
      </w:pPr>
      <w:bookmarkStart w:id="10" w:name="_Toc157760680"/>
      <w:r>
        <w:rPr>
          <w:rFonts w:eastAsia="楷体_GB2312" w:cs="Times New Roman"/>
        </w:rPr>
        <w:t>一、受访者画像分析</w:t>
      </w:r>
      <w:bookmarkEnd w:id="10"/>
    </w:p>
    <w:p>
      <w:pPr>
        <w:ind w:firstLine="640"/>
        <w:rPr>
          <w:rFonts w:eastAsia="仿宋_GB2312" w:cs="Times New Roman"/>
        </w:rPr>
      </w:pPr>
      <w:r>
        <w:rPr>
          <w:rFonts w:eastAsia="仿宋_GB2312" w:cs="Times New Roman"/>
        </w:rPr>
        <w:t>受访者</w:t>
      </w:r>
      <w:r>
        <w:rPr>
          <w:rFonts w:hint="eastAsia" w:eastAsia="仿宋_GB2312" w:cs="Times New Roman"/>
        </w:rPr>
        <w:t>中</w:t>
      </w:r>
      <w:r>
        <w:rPr>
          <w:rFonts w:eastAsia="仿宋_GB2312" w:cs="Times New Roman"/>
        </w:rPr>
        <w:t>男性占比63.1%，女性占比36.9%。</w:t>
      </w:r>
    </w:p>
    <w:p>
      <w:pPr>
        <w:pStyle w:val="27"/>
        <w:rPr>
          <w:rFonts w:cs="Times New Roman"/>
        </w:rPr>
      </w:pPr>
      <w:r>
        <w:rPr>
          <w:rFonts w:cs="Times New Roman"/>
        </w:rPr>
        <w:drawing>
          <wp:inline distT="0" distB="0" distL="0" distR="0">
            <wp:extent cx="5196840" cy="2545080"/>
            <wp:effectExtent l="0" t="0" r="3810" b="7620"/>
            <wp:docPr id="1682622428" name="图表 16826224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7"/>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t>有效样本性别分布（%）</w:t>
      </w:r>
    </w:p>
    <w:p>
      <w:pPr>
        <w:ind w:firstLine="640"/>
        <w:rPr>
          <w:rFonts w:eastAsia="仿宋_GB2312" w:cs="Times New Roman"/>
        </w:rPr>
      </w:pPr>
      <w:r>
        <w:rPr>
          <w:rFonts w:eastAsia="仿宋_GB2312" w:cs="Times New Roman"/>
        </w:rPr>
        <w:t>受访者年龄以30-39岁为主，占比49.4%，其次是40-49岁，占比23.1%。</w:t>
      </w:r>
      <w:r>
        <w:rPr>
          <w:rFonts w:hint="eastAsia" w:eastAsia="仿宋_GB2312" w:cs="Times New Roman"/>
        </w:rPr>
        <w:t>1</w:t>
      </w:r>
      <w:r>
        <w:rPr>
          <w:rFonts w:eastAsia="仿宋_GB2312" w:cs="Times New Roman"/>
        </w:rPr>
        <w:t>8-29</w:t>
      </w:r>
      <w:r>
        <w:rPr>
          <w:rFonts w:hint="eastAsia" w:eastAsia="仿宋_GB2312" w:cs="Times New Roman"/>
        </w:rPr>
        <w:t>岁占比1</w:t>
      </w:r>
      <w:r>
        <w:rPr>
          <w:rFonts w:eastAsia="仿宋_GB2312" w:cs="Times New Roman"/>
        </w:rPr>
        <w:t>5.9%</w:t>
      </w:r>
      <w:r>
        <w:rPr>
          <w:rFonts w:hint="eastAsia" w:eastAsia="仿宋_GB2312" w:cs="Times New Roman"/>
        </w:rPr>
        <w:t>，5</w:t>
      </w:r>
      <w:r>
        <w:rPr>
          <w:rFonts w:eastAsia="仿宋_GB2312" w:cs="Times New Roman"/>
        </w:rPr>
        <w:t>0-59</w:t>
      </w:r>
      <w:r>
        <w:rPr>
          <w:rFonts w:hint="eastAsia" w:eastAsia="仿宋_GB2312" w:cs="Times New Roman"/>
        </w:rPr>
        <w:t>岁占比9</w:t>
      </w:r>
      <w:r>
        <w:rPr>
          <w:rFonts w:eastAsia="仿宋_GB2312" w:cs="Times New Roman"/>
        </w:rPr>
        <w:t>.0%</w:t>
      </w:r>
      <w:r>
        <w:rPr>
          <w:rFonts w:hint="eastAsia" w:eastAsia="仿宋_GB2312" w:cs="Times New Roman"/>
        </w:rPr>
        <w:t>，6</w:t>
      </w:r>
      <w:r>
        <w:rPr>
          <w:rFonts w:eastAsia="仿宋_GB2312" w:cs="Times New Roman"/>
        </w:rPr>
        <w:t>0</w:t>
      </w:r>
      <w:r>
        <w:rPr>
          <w:rFonts w:hint="eastAsia" w:eastAsia="仿宋_GB2312" w:cs="Times New Roman"/>
        </w:rPr>
        <w:t>岁以上占比2</w:t>
      </w:r>
      <w:r>
        <w:rPr>
          <w:rFonts w:eastAsia="仿宋_GB2312" w:cs="Times New Roman"/>
        </w:rPr>
        <w:t>.6%</w:t>
      </w:r>
      <w:r>
        <w:rPr>
          <w:rFonts w:hint="eastAsia" w:eastAsia="仿宋_GB2312" w:cs="Times New Roman"/>
        </w:rPr>
        <w:t>。</w:t>
      </w:r>
    </w:p>
    <w:p>
      <w:pPr>
        <w:pStyle w:val="27"/>
      </w:pPr>
      <w:r>
        <w:rPr>
          <w:rFonts w:hint="eastAsia"/>
        </w:rPr>
        <w:drawing>
          <wp:inline distT="0" distB="0" distL="0" distR="0">
            <wp:extent cx="5196840" cy="2682240"/>
            <wp:effectExtent l="0" t="0" r="3810" b="3810"/>
            <wp:docPr id="212496396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7"/>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t>有效样本年龄分布（%）</w:t>
      </w:r>
    </w:p>
    <w:p>
      <w:pPr>
        <w:widowControl/>
        <w:spacing w:line="240" w:lineRule="auto"/>
        <w:ind w:firstLine="0" w:firstLineChars="0"/>
        <w:jc w:val="left"/>
        <w:rPr>
          <w:rFonts w:eastAsia="仿宋_GB2312" w:cs="Times New Roman"/>
        </w:rPr>
      </w:pPr>
      <w:r>
        <w:rPr>
          <w:rFonts w:eastAsia="仿宋_GB2312" w:cs="Times New Roman"/>
        </w:rPr>
        <w:br w:type="page"/>
      </w:r>
    </w:p>
    <w:p>
      <w:pPr>
        <w:ind w:firstLine="640"/>
        <w:rPr>
          <w:rFonts w:eastAsia="仿宋_GB2312" w:cs="Times New Roman"/>
        </w:rPr>
      </w:pPr>
      <w:r>
        <w:rPr>
          <w:rFonts w:eastAsia="仿宋_GB2312" w:cs="Times New Roman"/>
        </w:rPr>
        <w:t>受访者</w:t>
      </w:r>
      <w:r>
        <w:rPr>
          <w:rFonts w:hint="eastAsia" w:eastAsia="仿宋_GB2312" w:cs="Times New Roman"/>
        </w:rPr>
        <w:t>每日</w:t>
      </w:r>
      <w:r>
        <w:rPr>
          <w:rFonts w:eastAsia="仿宋_GB2312" w:cs="Times New Roman"/>
        </w:rPr>
        <w:t>驾车出行距离以30km以下为主，</w:t>
      </w:r>
      <w:r>
        <w:rPr>
          <w:rFonts w:hint="eastAsia" w:eastAsia="仿宋_GB2312" w:cs="Times New Roman"/>
        </w:rPr>
        <w:t>其中</w:t>
      </w:r>
      <w:r>
        <w:rPr>
          <w:rFonts w:eastAsia="仿宋_GB2312" w:cs="Times New Roman"/>
        </w:rPr>
        <w:t>20-30km占比</w:t>
      </w:r>
      <w:r>
        <w:rPr>
          <w:rFonts w:hint="eastAsia" w:eastAsia="仿宋_GB2312" w:cs="Times New Roman"/>
        </w:rPr>
        <w:t>最高为</w:t>
      </w:r>
      <w:r>
        <w:rPr>
          <w:rFonts w:eastAsia="仿宋_GB2312" w:cs="Times New Roman"/>
        </w:rPr>
        <w:t>35.6%，10-20km占比29.2%，10km以内占比7.2%，30-40km占比16.2%，40km以上占比11.7%。</w:t>
      </w:r>
    </w:p>
    <w:p>
      <w:pPr>
        <w:pStyle w:val="27"/>
        <w:rPr>
          <w:rFonts w:eastAsia="仿宋_GB2312"/>
          <w:kern w:val="0"/>
          <w:sz w:val="24"/>
          <w:szCs w:val="21"/>
        </w:rPr>
      </w:pPr>
      <w:r>
        <w:drawing>
          <wp:inline distT="0" distB="0" distL="114300" distR="114300">
            <wp:extent cx="5080000" cy="2628900"/>
            <wp:effectExtent l="0" t="0" r="6350" b="0"/>
            <wp:docPr id="84" name="图表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27"/>
        <w:ind w:firstLine="640"/>
        <w:jc w:val="center"/>
        <w:rPr>
          <w:rFonts w:cs="Times New Roman"/>
        </w:rPr>
      </w:pPr>
      <w:r>
        <w:rPr>
          <w:rFonts w:eastAsia="仿宋_GB2312" w:cs="Times New Roman"/>
          <w:kern w:val="0"/>
          <w:sz w:val="24"/>
          <w:szCs w:val="21"/>
        </w:rPr>
        <w:t xml:space="preserve">图 </w:t>
      </w:r>
      <w:r>
        <w:rPr>
          <w:rFonts w:eastAsia="仿宋_GB2312" w:cs="Times New Roman"/>
          <w:kern w:val="0"/>
          <w:sz w:val="24"/>
          <w:szCs w:val="21"/>
        </w:rPr>
        <w:fldChar w:fldCharType="begin"/>
      </w:r>
      <w:r>
        <w:rPr>
          <w:rFonts w:eastAsia="仿宋_GB2312" w:cs="Times New Roman"/>
          <w:kern w:val="0"/>
          <w:sz w:val="24"/>
          <w:szCs w:val="21"/>
        </w:rPr>
        <w:instrText xml:space="preserve"> SEQ 图 \* ARABIC </w:instrText>
      </w:r>
      <w:r>
        <w:rPr>
          <w:rFonts w:eastAsia="仿宋_GB2312" w:cs="Times New Roman"/>
          <w:kern w:val="0"/>
          <w:sz w:val="24"/>
          <w:szCs w:val="21"/>
        </w:rPr>
        <w:fldChar w:fldCharType="separate"/>
      </w:r>
      <w:r>
        <w:rPr>
          <w:rFonts w:eastAsia="仿宋_GB2312" w:cs="Times New Roman"/>
          <w:kern w:val="0"/>
          <w:sz w:val="24"/>
          <w:szCs w:val="21"/>
        </w:rPr>
        <w:t>3</w:t>
      </w:r>
      <w:r>
        <w:rPr>
          <w:rFonts w:eastAsia="仿宋_GB2312" w:cs="Times New Roman"/>
          <w:kern w:val="0"/>
          <w:sz w:val="24"/>
          <w:szCs w:val="21"/>
        </w:rPr>
        <w:fldChar w:fldCharType="end"/>
      </w:r>
      <w:r>
        <w:rPr>
          <w:rFonts w:hint="eastAsia" w:eastAsia="仿宋_GB2312" w:cs="Times New Roman"/>
          <w:kern w:val="0"/>
          <w:sz w:val="24"/>
          <w:szCs w:val="21"/>
        </w:rPr>
        <w:t>每日</w:t>
      </w:r>
      <w:r>
        <w:rPr>
          <w:rFonts w:eastAsia="仿宋_GB2312" w:cs="Times New Roman"/>
          <w:kern w:val="0"/>
          <w:sz w:val="24"/>
          <w:szCs w:val="21"/>
        </w:rPr>
        <w:t>驾车出行距离（%）</w:t>
      </w:r>
    </w:p>
    <w:p>
      <w:pPr>
        <w:widowControl/>
        <w:spacing w:line="240" w:lineRule="auto"/>
        <w:ind w:firstLine="0" w:firstLineChars="0"/>
        <w:jc w:val="left"/>
        <w:rPr>
          <w:rFonts w:eastAsia="楷体_GB2312" w:cs="Times New Roman"/>
          <w:b/>
          <w:bCs/>
          <w:szCs w:val="32"/>
        </w:rPr>
      </w:pPr>
      <w:r>
        <w:rPr>
          <w:rFonts w:eastAsia="楷体_GB2312" w:cs="Times New Roman"/>
        </w:rPr>
        <w:br w:type="page"/>
      </w:r>
    </w:p>
    <w:p>
      <w:pPr>
        <w:pStyle w:val="3"/>
        <w:spacing w:line="560" w:lineRule="exact"/>
        <w:ind w:firstLine="640"/>
        <w:rPr>
          <w:rFonts w:eastAsia="楷体_GB2312" w:cs="Times New Roman"/>
        </w:rPr>
      </w:pPr>
      <w:bookmarkStart w:id="11" w:name="_Toc157760681"/>
      <w:r>
        <w:rPr>
          <w:rFonts w:eastAsia="楷体_GB2312" w:cs="Times New Roman"/>
        </w:rPr>
        <w:t>二、电动汽车充电情况</w:t>
      </w:r>
      <w:bookmarkEnd w:id="11"/>
    </w:p>
    <w:p>
      <w:pPr>
        <w:pStyle w:val="4"/>
        <w:spacing w:before="0" w:after="0" w:line="560" w:lineRule="exact"/>
        <w:ind w:firstLine="643"/>
        <w:rPr>
          <w:rFonts w:eastAsia="仿宋_GB2312" w:cs="Times New Roman"/>
        </w:rPr>
      </w:pPr>
      <w:bookmarkStart w:id="12" w:name="_Toc157760682"/>
      <w:r>
        <w:rPr>
          <w:rFonts w:eastAsia="仿宋_GB2312" w:cs="Times New Roman"/>
        </w:rPr>
        <w:t>（一）充电到达时间：超六成的用户10分钟以内到达最近的充电站</w:t>
      </w:r>
      <w:bookmarkEnd w:id="12"/>
    </w:p>
    <w:p>
      <w:pPr>
        <w:ind w:firstLine="640"/>
      </w:pPr>
      <w:r>
        <w:rPr>
          <w:rFonts w:hint="eastAsia"/>
        </w:rPr>
        <w:t>从用户前往最近的电动汽车充电站需要的时间来看，50.1%的电动汽车用户需要5-10分钟的车程才能到最近的充电站，14.3%的用户只需要不到5分钟，28.6%的用户需要10-20分钟，而只有7.1%的用户需要20分钟以上的车程才能到达充电站。</w:t>
      </w:r>
    </w:p>
    <w:p>
      <w:pPr>
        <w:pStyle w:val="27"/>
      </w:pPr>
      <w:r>
        <w:rPr>
          <w:rFonts w:hint="eastAsia"/>
        </w:rPr>
        <w:drawing>
          <wp:inline distT="0" distB="0" distL="114300" distR="114300">
            <wp:extent cx="5080000" cy="2628900"/>
            <wp:effectExtent l="0" t="0" r="6350" b="0"/>
            <wp:docPr id="1954721689" name="图表 19547216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7"/>
        <w:ind w:firstLine="360"/>
        <w:rPr>
          <w:rFonts w:ascii="仿宋_GB2312" w:hAnsi="仿宋_GB2312" w:cs="仿宋_GB2312"/>
        </w:rPr>
      </w:pPr>
      <w:r>
        <w:rPr>
          <w:rFonts w:ascii="仿宋_GB2312" w:hAnsi="仿宋_GB2312" w:cs="仿宋_GB2312"/>
        </w:rPr>
        <w:t xml:space="preserve">图 </w:t>
      </w:r>
      <w:r>
        <w:rPr>
          <w:rFonts w:ascii="仿宋_GB2312" w:hAnsi="仿宋_GB2312" w:cs="仿宋_GB2312"/>
        </w:rPr>
        <w:fldChar w:fldCharType="begin"/>
      </w:r>
      <w:r>
        <w:rPr>
          <w:rFonts w:ascii="仿宋_GB2312" w:hAnsi="仿宋_GB2312" w:cs="仿宋_GB2312"/>
        </w:rPr>
        <w:instrText xml:space="preserve"> SEQ 图 \* ARABIC </w:instrText>
      </w:r>
      <w:r>
        <w:rPr>
          <w:rFonts w:ascii="仿宋_GB2312" w:hAnsi="仿宋_GB2312" w:cs="仿宋_GB2312"/>
        </w:rPr>
        <w:fldChar w:fldCharType="separate"/>
      </w:r>
      <w:r>
        <w:rPr>
          <w:rFonts w:ascii="仿宋_GB2312" w:hAnsi="仿宋_GB2312" w:cs="仿宋_GB2312"/>
        </w:rPr>
        <w:t>4</w:t>
      </w:r>
      <w:r>
        <w:rPr>
          <w:rFonts w:ascii="仿宋_GB2312" w:hAnsi="仿宋_GB2312" w:cs="仿宋_GB2312"/>
        </w:rPr>
        <w:fldChar w:fldCharType="end"/>
      </w:r>
      <w:r>
        <w:rPr>
          <w:rFonts w:ascii="仿宋_GB2312" w:hAnsi="仿宋_GB2312" w:cs="仿宋_GB2312"/>
        </w:rPr>
        <w:t>前往最近的电动汽车充电站的时间（%）</w:t>
      </w:r>
    </w:p>
    <w:p>
      <w:pPr>
        <w:pStyle w:val="4"/>
        <w:spacing w:before="0" w:after="0" w:line="560" w:lineRule="exact"/>
        <w:ind w:firstLine="643"/>
        <w:rPr>
          <w:rFonts w:eastAsia="仿宋_GB2312" w:cs="Times New Roman"/>
        </w:rPr>
      </w:pPr>
      <w:bookmarkStart w:id="13" w:name="_Toc157760683"/>
      <w:r>
        <w:rPr>
          <w:rFonts w:eastAsia="仿宋_GB2312" w:cs="Times New Roman"/>
        </w:rPr>
        <w:t>（二）充电频率：超八成用户每周充电3次以内</w:t>
      </w:r>
      <w:bookmarkEnd w:id="13"/>
    </w:p>
    <w:p>
      <w:pPr>
        <w:ind w:firstLine="640"/>
        <w:rPr>
          <w:rFonts w:eastAsia="仿宋_GB2312" w:cs="Times New Roman"/>
        </w:rPr>
      </w:pPr>
      <w:r>
        <w:rPr>
          <w:rFonts w:eastAsia="仿宋_GB2312" w:cs="Times New Roman"/>
        </w:rPr>
        <w:t>从每周充电频率来看，83.0%的用户充电频率每周三次以内，14.1%的用户每周充电4-6次，每周充电7次以上的用户仅占3.0%。</w:t>
      </w:r>
    </w:p>
    <w:p>
      <w:pPr>
        <w:pStyle w:val="27"/>
        <w:rPr>
          <w:rFonts w:cs="Times New Roman"/>
        </w:rPr>
      </w:pPr>
      <w:r>
        <w:rPr>
          <w:rFonts w:cs="Times New Roman"/>
        </w:rPr>
        <w:drawing>
          <wp:inline distT="0" distB="0" distL="114300" distR="114300">
            <wp:extent cx="5080000" cy="2311400"/>
            <wp:effectExtent l="0" t="0" r="0" b="0"/>
            <wp:docPr id="1817956495" name="图表 1817956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7"/>
        <w:ind w:firstLine="360"/>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t>每周充电频率（%）</w:t>
      </w:r>
    </w:p>
    <w:p>
      <w:pPr>
        <w:pStyle w:val="4"/>
        <w:ind w:firstLine="643"/>
      </w:pPr>
      <w:bookmarkStart w:id="14" w:name="_Toc157760684"/>
      <w:r>
        <w:t>（三）充电桩品牌：充电品牌众多，用户常用品牌选择多元化</w:t>
      </w:r>
      <w:bookmarkEnd w:id="14"/>
    </w:p>
    <w:p>
      <w:pPr>
        <w:ind w:firstLine="640"/>
      </w:pPr>
      <w:r>
        <w:t>从充电桩品牌来看，用户常用的品牌排名前三的分别是小桔充电、星星充电和南方电网，分别占比40.7%、39.3%和37.1%。</w:t>
      </w:r>
      <w:r>
        <w:rPr>
          <w:rFonts w:hint="eastAsia"/>
        </w:rPr>
        <w:t>而特斯拉专属超级充电站品牌占比最少为8</w:t>
      </w:r>
      <w:r>
        <w:t>.6%</w:t>
      </w:r>
      <w:r>
        <w:rPr>
          <w:rFonts w:hint="eastAsia"/>
        </w:rPr>
        <w:t>。</w:t>
      </w:r>
    </w:p>
    <w:p>
      <w:pPr>
        <w:pStyle w:val="27"/>
        <w:rPr>
          <w:rFonts w:cs="Times New Roman"/>
        </w:rPr>
      </w:pPr>
      <w:r>
        <w:rPr>
          <w:rFonts w:cs="Times New Roman"/>
        </w:rPr>
        <w:drawing>
          <wp:inline distT="0" distB="0" distL="114300" distR="114300">
            <wp:extent cx="5080000" cy="3234055"/>
            <wp:effectExtent l="0" t="0" r="0" b="0"/>
            <wp:docPr id="343571607" name="图表 3435716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7"/>
        <w:ind w:firstLine="360"/>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t>用户常用充电桩品牌（%）</w:t>
      </w:r>
    </w:p>
    <w:p>
      <w:pPr>
        <w:pStyle w:val="4"/>
        <w:spacing w:before="0" w:after="0" w:line="560" w:lineRule="exact"/>
        <w:ind w:firstLine="643"/>
        <w:rPr>
          <w:rFonts w:eastAsia="仿宋_GB2312" w:cs="Times New Roman"/>
        </w:rPr>
      </w:pPr>
      <w:bookmarkStart w:id="15" w:name="_Toc157760685"/>
      <w:r>
        <w:rPr>
          <w:rFonts w:eastAsia="仿宋_GB2312" w:cs="Times New Roman"/>
        </w:rPr>
        <w:t>（四）充电</w:t>
      </w:r>
      <w:r>
        <w:rPr>
          <w:rFonts w:hint="eastAsia" w:eastAsia="仿宋_GB2312" w:cs="Times New Roman"/>
        </w:rPr>
        <w:t>场所</w:t>
      </w:r>
      <w:r>
        <w:rPr>
          <w:rFonts w:eastAsia="仿宋_GB2312" w:cs="Times New Roman"/>
        </w:rPr>
        <w:t>：超七成用户选择家附近的充电桩</w:t>
      </w:r>
      <w:bookmarkEnd w:id="15"/>
    </w:p>
    <w:p>
      <w:pPr>
        <w:ind w:firstLine="640"/>
        <w:rPr>
          <w:rFonts w:eastAsia="仿宋_GB2312" w:cs="Times New Roman"/>
        </w:rPr>
      </w:pPr>
      <w:r>
        <w:rPr>
          <w:rFonts w:eastAsia="仿宋_GB2312" w:cs="Times New Roman"/>
        </w:rPr>
        <w:t>从用户经常选择的充电</w:t>
      </w:r>
      <w:r>
        <w:rPr>
          <w:rFonts w:hint="eastAsia" w:eastAsia="仿宋_GB2312" w:cs="Times New Roman"/>
        </w:rPr>
        <w:t>场所</w:t>
      </w:r>
      <w:r>
        <w:rPr>
          <w:rFonts w:eastAsia="仿宋_GB2312" w:cs="Times New Roman"/>
        </w:rPr>
        <w:t>来看，70.7%的用户选择家附近的充电桩，56.1%的用户选择单位附近的充电桩，30.0%的用户选择便携式充电桩，19.0%的用户选择超级充电站。</w:t>
      </w:r>
    </w:p>
    <w:p>
      <w:pPr>
        <w:pStyle w:val="27"/>
        <w:rPr>
          <w:rFonts w:cs="Times New Roman"/>
        </w:rPr>
      </w:pPr>
      <w:r>
        <w:rPr>
          <w:rFonts w:cs="Times New Roman"/>
        </w:rPr>
        <w:drawing>
          <wp:inline distT="0" distB="0" distL="114300" distR="114300">
            <wp:extent cx="5080000" cy="2353310"/>
            <wp:effectExtent l="0" t="0" r="0" b="0"/>
            <wp:docPr id="2119945536" name="图表 21199455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7"/>
        <w:ind w:firstLine="360"/>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hint="eastAsia" w:ascii="Times New Roman" w:hAnsi="Times New Roman" w:cs="Times New Roman"/>
        </w:rPr>
        <w:t>用户经常选择的</w:t>
      </w:r>
      <w:r>
        <w:rPr>
          <w:rFonts w:ascii="Times New Roman" w:hAnsi="Times New Roman" w:cs="Times New Roman"/>
        </w:rPr>
        <w:t>充电</w:t>
      </w:r>
      <w:r>
        <w:rPr>
          <w:rFonts w:hint="eastAsia" w:ascii="Times New Roman" w:hAnsi="Times New Roman" w:cs="Times New Roman"/>
        </w:rPr>
        <w:t>场所</w:t>
      </w:r>
      <w:r>
        <w:rPr>
          <w:rFonts w:ascii="Times New Roman" w:hAnsi="Times New Roman" w:cs="Times New Roman"/>
        </w:rPr>
        <w:t>（%）</w:t>
      </w:r>
    </w:p>
    <w:p>
      <w:pPr>
        <w:pStyle w:val="4"/>
        <w:spacing w:before="0" w:after="0" w:line="560" w:lineRule="exact"/>
        <w:ind w:firstLine="643"/>
        <w:rPr>
          <w:rFonts w:eastAsia="仿宋_GB2312" w:cs="Times New Roman"/>
        </w:rPr>
      </w:pPr>
      <w:bookmarkStart w:id="16" w:name="_Toc157760686"/>
      <w:r>
        <w:rPr>
          <w:rFonts w:eastAsia="仿宋_GB2312" w:cs="Times New Roman"/>
        </w:rPr>
        <w:t>（五）充电等候时间：超六成的用户能接受等候时间在30分钟以内</w:t>
      </w:r>
      <w:bookmarkEnd w:id="16"/>
    </w:p>
    <w:p>
      <w:pPr>
        <w:ind w:firstLine="640"/>
        <w:rPr>
          <w:rFonts w:eastAsia="仿宋_GB2312" w:cs="Times New Roman"/>
        </w:rPr>
      </w:pPr>
      <w:r>
        <w:rPr>
          <w:rFonts w:hint="eastAsia" w:eastAsia="仿宋_GB2312" w:cs="Times New Roman"/>
        </w:rPr>
        <w:t>就用户接受充电等候时间的情况而言，超过六成的用户能够接受30分钟以内的等待时间。另外，能接受30-60分钟的等待时间占为27.6%，而能接受等待60分钟以上的用户仅占5.6%。</w:t>
      </w:r>
    </w:p>
    <w:p>
      <w:pPr>
        <w:pStyle w:val="27"/>
        <w:rPr>
          <w:rFonts w:cs="Times New Roman"/>
        </w:rPr>
      </w:pPr>
      <w:r>
        <w:rPr>
          <w:rFonts w:cs="Times New Roman"/>
        </w:rPr>
        <w:drawing>
          <wp:inline distT="0" distB="0" distL="114300" distR="114300">
            <wp:extent cx="5080000" cy="1955800"/>
            <wp:effectExtent l="0" t="0" r="0" b="0"/>
            <wp:docPr id="1224519787" name="图表 12245197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7"/>
        <w:ind w:firstLine="360"/>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t>充电等候时间（%）</w:t>
      </w:r>
    </w:p>
    <w:p>
      <w:pPr>
        <w:pStyle w:val="4"/>
        <w:spacing w:before="0" w:after="0" w:line="560" w:lineRule="exact"/>
        <w:ind w:firstLine="643"/>
        <w:rPr>
          <w:rFonts w:eastAsia="仿宋_GB2312" w:cs="Times New Roman"/>
        </w:rPr>
      </w:pPr>
      <w:bookmarkStart w:id="17" w:name="_Toc157760687"/>
      <w:r>
        <w:rPr>
          <w:rFonts w:eastAsia="仿宋_GB2312" w:cs="Times New Roman"/>
        </w:rPr>
        <w:t>（六）充电寻址距离：近</w:t>
      </w:r>
      <w:r>
        <w:rPr>
          <w:rFonts w:hint="eastAsia" w:eastAsia="仿宋_GB2312" w:cs="Times New Roman"/>
        </w:rPr>
        <w:t>八成</w:t>
      </w:r>
      <w:r>
        <w:rPr>
          <w:rFonts w:eastAsia="仿宋_GB2312" w:cs="Times New Roman"/>
        </w:rPr>
        <w:t>用户可接受充电寻址距离在5公里以内</w:t>
      </w:r>
      <w:bookmarkEnd w:id="17"/>
    </w:p>
    <w:p>
      <w:pPr>
        <w:ind w:firstLine="640"/>
        <w:rPr>
          <w:rFonts w:eastAsia="仿宋_GB2312" w:cs="Times New Roman"/>
        </w:rPr>
      </w:pPr>
      <w:r>
        <w:rPr>
          <w:rFonts w:eastAsia="仿宋_GB2312" w:cs="Times New Roman"/>
        </w:rPr>
        <w:t>从用户可以接受的充电寻址距离来看，可以接受2km以内的占19.7%，接受5km以内的占比54.1%，可以接受10km以内的占比23.6%，接受10km以上的仅占2.6%。</w:t>
      </w:r>
    </w:p>
    <w:p>
      <w:pPr>
        <w:pStyle w:val="27"/>
        <w:rPr>
          <w:rFonts w:cs="Times New Roman"/>
        </w:rPr>
      </w:pPr>
      <w:r>
        <w:rPr>
          <w:rFonts w:cs="Times New Roman"/>
        </w:rPr>
        <w:drawing>
          <wp:inline distT="0" distB="0" distL="114300" distR="114300">
            <wp:extent cx="5080000" cy="2628900"/>
            <wp:effectExtent l="0" t="0" r="0" b="0"/>
            <wp:docPr id="351547130" name="图表 351547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7"/>
        <w:ind w:firstLine="360"/>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t>充电寻址距离（%）</w:t>
      </w:r>
    </w:p>
    <w:p>
      <w:pPr>
        <w:pStyle w:val="4"/>
        <w:spacing w:before="0" w:after="0" w:line="560" w:lineRule="exact"/>
        <w:ind w:firstLine="643"/>
        <w:rPr>
          <w:rFonts w:eastAsia="仿宋_GB2312" w:cs="Times New Roman"/>
        </w:rPr>
      </w:pPr>
      <w:bookmarkStart w:id="18" w:name="_Toc157760688"/>
      <w:r>
        <w:rPr>
          <w:rFonts w:eastAsia="仿宋_GB2312" w:cs="Times New Roman"/>
        </w:rPr>
        <w:t>（七）</w:t>
      </w:r>
      <w:r>
        <w:rPr>
          <w:rFonts w:hint="eastAsia" w:eastAsia="仿宋_GB2312" w:cs="Times New Roman"/>
        </w:rPr>
        <w:t>充</w:t>
      </w:r>
      <w:r>
        <w:rPr>
          <w:rFonts w:eastAsia="仿宋_GB2312" w:cs="Times New Roman"/>
        </w:rPr>
        <w:t>停费用：分时段计费，近四成充电时免收停车费</w:t>
      </w:r>
      <w:bookmarkEnd w:id="18"/>
    </w:p>
    <w:p>
      <w:pPr>
        <w:ind w:firstLine="640"/>
        <w:rPr>
          <w:rFonts w:eastAsia="仿宋_GB2312" w:cs="Times New Roman"/>
        </w:rPr>
      </w:pPr>
      <w:r>
        <w:rPr>
          <w:rFonts w:eastAsia="仿宋_GB2312" w:cs="Times New Roman"/>
        </w:rPr>
        <w:t>从电车充电的费用收取方式来看，分时间段收费占比最多为39.8%，按</w:t>
      </w:r>
      <w:r>
        <w:rPr>
          <w:rFonts w:hint="eastAsia" w:eastAsia="仿宋_GB2312" w:cs="Times New Roman"/>
        </w:rPr>
        <w:t>充电计费+</w:t>
      </w:r>
      <w:r>
        <w:rPr>
          <w:rFonts w:eastAsia="仿宋_GB2312" w:cs="Times New Roman"/>
        </w:rPr>
        <w:t>服务费的占比20.9%，按功率分段计费占比21.0%，固定单价占比18.2%。</w:t>
      </w:r>
    </w:p>
    <w:p>
      <w:pPr>
        <w:pStyle w:val="27"/>
        <w:rPr>
          <w:rFonts w:cs="Times New Roman"/>
        </w:rPr>
      </w:pPr>
      <w:r>
        <w:rPr>
          <w:rFonts w:cs="Times New Roman"/>
        </w:rPr>
        <w:drawing>
          <wp:inline distT="0" distB="0" distL="0" distR="0">
            <wp:extent cx="5196840" cy="2043430"/>
            <wp:effectExtent l="0" t="0" r="0" b="0"/>
            <wp:docPr id="384772501" name="图表 3847725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7"/>
        <w:ind w:firstLine="360"/>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10</w:t>
      </w:r>
      <w:r>
        <w:rPr>
          <w:rFonts w:ascii="Times New Roman" w:hAnsi="Times New Roman" w:cs="Times New Roman"/>
        </w:rPr>
        <w:fldChar w:fldCharType="end"/>
      </w:r>
      <w:r>
        <w:rPr>
          <w:rFonts w:ascii="Times New Roman" w:hAnsi="Times New Roman" w:cs="Times New Roman"/>
        </w:rPr>
        <w:t>充电时充电费用收取方式（%）</w:t>
      </w:r>
    </w:p>
    <w:p>
      <w:pPr>
        <w:ind w:firstLine="640"/>
        <w:rPr>
          <w:rFonts w:eastAsia="仿宋_GB2312" w:cs="Times New Roman"/>
        </w:rPr>
      </w:pPr>
      <w:r>
        <w:rPr>
          <w:rFonts w:eastAsia="仿宋_GB2312" w:cs="Times New Roman"/>
        </w:rPr>
        <w:t>从停车费用的收取方式来看，39.1%的用户充电时免收停车费，24.8%的用户按照停车场收费标准收取停车费，23.4%的用户收取停车占位费，12.7%的用户停车费用有一定的优惠幅度。</w:t>
      </w:r>
    </w:p>
    <w:p>
      <w:pPr>
        <w:pStyle w:val="27"/>
        <w:rPr>
          <w:rFonts w:cs="Times New Roman"/>
        </w:rPr>
      </w:pPr>
      <w:r>
        <w:rPr>
          <w:rFonts w:cs="Times New Roman"/>
        </w:rPr>
        <w:drawing>
          <wp:inline distT="0" distB="0" distL="114300" distR="114300">
            <wp:extent cx="5080000" cy="2628900"/>
            <wp:effectExtent l="0" t="0" r="0" b="0"/>
            <wp:docPr id="2058147533" name="图表 20581475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7"/>
        <w:ind w:firstLine="360"/>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t>充电时停车费用收取方式（%）</w:t>
      </w:r>
    </w:p>
    <w:p>
      <w:pPr>
        <w:pStyle w:val="27"/>
        <w:rPr>
          <w:rFonts w:cs="Times New Roman"/>
        </w:rPr>
      </w:pPr>
    </w:p>
    <w:p>
      <w:pPr>
        <w:widowControl/>
        <w:spacing w:line="240" w:lineRule="auto"/>
        <w:ind w:firstLine="0" w:firstLineChars="0"/>
        <w:jc w:val="left"/>
        <w:rPr>
          <w:rFonts w:eastAsia="楷体_GB2312" w:cs="Times New Roman"/>
          <w:b/>
          <w:bCs/>
          <w:szCs w:val="32"/>
        </w:rPr>
      </w:pPr>
      <w:r>
        <w:rPr>
          <w:rFonts w:eastAsia="楷体_GB2312" w:cs="Times New Roman"/>
        </w:rPr>
        <w:br w:type="page"/>
      </w:r>
    </w:p>
    <w:p>
      <w:pPr>
        <w:pStyle w:val="3"/>
        <w:spacing w:line="560" w:lineRule="exact"/>
        <w:ind w:firstLine="640"/>
        <w:rPr>
          <w:rFonts w:eastAsia="楷体_GB2312" w:cs="Times New Roman"/>
        </w:rPr>
      </w:pPr>
      <w:bookmarkStart w:id="19" w:name="_Toc157760689"/>
      <w:r>
        <w:rPr>
          <w:rFonts w:eastAsia="楷体_GB2312" w:cs="Times New Roman"/>
        </w:rPr>
        <w:t>三、充电设施配备及充电服务满意度情况</w:t>
      </w:r>
      <w:bookmarkEnd w:id="19"/>
    </w:p>
    <w:p>
      <w:pPr>
        <w:pStyle w:val="4"/>
        <w:spacing w:before="0" w:after="0" w:line="560" w:lineRule="exact"/>
        <w:ind w:firstLine="643"/>
        <w:rPr>
          <w:rFonts w:eastAsia="仿宋_GB2312" w:cs="Times New Roman"/>
        </w:rPr>
      </w:pPr>
      <w:bookmarkStart w:id="20" w:name="_Toc157760690"/>
      <w:r>
        <w:rPr>
          <w:rFonts w:eastAsia="仿宋_GB2312" w:cs="Times New Roman"/>
        </w:rPr>
        <w:t>（一）充电设施配备</w:t>
      </w:r>
      <w:bookmarkEnd w:id="20"/>
    </w:p>
    <w:p>
      <w:pPr>
        <w:ind w:firstLine="640"/>
        <w:rPr>
          <w:rFonts w:eastAsia="仿宋_GB2312" w:cs="Times New Roman"/>
        </w:rPr>
      </w:pPr>
      <w:r>
        <w:rPr>
          <w:rFonts w:eastAsia="仿宋_GB2312" w:cs="Times New Roman"/>
        </w:rPr>
        <w:t>1.充电桩分布对电动汽车购买</w:t>
      </w:r>
      <w:r>
        <w:rPr>
          <w:rFonts w:hint="eastAsia" w:eastAsia="仿宋_GB2312" w:cs="Times New Roman"/>
        </w:rPr>
        <w:t>意愿</w:t>
      </w:r>
      <w:r>
        <w:rPr>
          <w:rFonts w:eastAsia="仿宋_GB2312" w:cs="Times New Roman"/>
        </w:rPr>
        <w:t>的影响</w:t>
      </w:r>
    </w:p>
    <w:p>
      <w:pPr>
        <w:ind w:firstLine="640"/>
        <w:rPr>
          <w:rFonts w:eastAsia="仿宋_GB2312" w:cs="Times New Roman"/>
        </w:rPr>
      </w:pPr>
      <w:r>
        <w:rPr>
          <w:rFonts w:eastAsia="仿宋_GB2312" w:cs="Times New Roman"/>
        </w:rPr>
        <w:t>超七成受访者认为充电桩分布制约其对电动汽车的购买</w:t>
      </w:r>
      <w:r>
        <w:rPr>
          <w:rFonts w:hint="eastAsia" w:eastAsia="仿宋_GB2312" w:cs="Times New Roman"/>
        </w:rPr>
        <w:t>意愿</w:t>
      </w:r>
      <w:r>
        <w:rPr>
          <w:rFonts w:eastAsia="仿宋_GB2312" w:cs="Times New Roman"/>
        </w:rPr>
        <w:t>，15.9%的用户认为非常有影响，40.7%的用户认为有影响，17.0%的用户认为影响一般，26.4%的用户认为没影响。</w:t>
      </w:r>
    </w:p>
    <w:p>
      <w:pPr>
        <w:pStyle w:val="27"/>
        <w:rPr>
          <w:rFonts w:cs="Times New Roman"/>
        </w:rPr>
      </w:pPr>
      <w:r>
        <w:rPr>
          <w:rFonts w:cs="Times New Roman"/>
        </w:rPr>
        <w:drawing>
          <wp:inline distT="0" distB="0" distL="114300" distR="114300">
            <wp:extent cx="5080000" cy="2628900"/>
            <wp:effectExtent l="0" t="0" r="6350" b="0"/>
            <wp:docPr id="188837510" name="图表 188837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7"/>
        <w:ind w:firstLine="360"/>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t>充电桩分布对电动汽车购买力的影响（%）</w:t>
      </w:r>
    </w:p>
    <w:p>
      <w:pPr>
        <w:ind w:firstLine="640"/>
        <w:rPr>
          <w:rFonts w:eastAsia="仿宋_GB2312" w:cs="Times New Roman"/>
        </w:rPr>
      </w:pPr>
      <w:r>
        <w:rPr>
          <w:rFonts w:eastAsia="仿宋_GB2312" w:cs="Times New Roman"/>
        </w:rPr>
        <w:t>2.充电桩的分布合理性</w:t>
      </w:r>
    </w:p>
    <w:p>
      <w:pPr>
        <w:ind w:firstLine="640"/>
        <w:rPr>
          <w:rFonts w:eastAsia="仿宋_GB2312" w:cs="Times New Roman"/>
        </w:rPr>
      </w:pPr>
      <w:r>
        <w:rPr>
          <w:rFonts w:eastAsia="仿宋_GB2312" w:cs="Times New Roman"/>
        </w:rPr>
        <w:t>从当前佛山市充电桩分布的合理性来看，超七成的用户认为合理，20.1%的用户表示一般，仅有3.8%的用户认为不太合理。</w:t>
      </w:r>
    </w:p>
    <w:p>
      <w:pPr>
        <w:pStyle w:val="27"/>
        <w:rPr>
          <w:rFonts w:cs="Times New Roman"/>
        </w:rPr>
      </w:pPr>
      <w:r>
        <w:rPr>
          <w:rFonts w:cs="Times New Roman"/>
        </w:rPr>
        <w:drawing>
          <wp:inline distT="0" distB="0" distL="114300" distR="114300">
            <wp:extent cx="5080000" cy="2628900"/>
            <wp:effectExtent l="0" t="0" r="6350" b="0"/>
            <wp:docPr id="613538439" name="图表 6135384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7"/>
        <w:ind w:firstLine="360"/>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t>充电桩分布的合理性（%）</w:t>
      </w:r>
    </w:p>
    <w:p>
      <w:pPr>
        <w:ind w:firstLine="640"/>
        <w:rPr>
          <w:rFonts w:eastAsia="仿宋_GB2312" w:cs="Times New Roman"/>
        </w:rPr>
      </w:pPr>
      <w:r>
        <w:rPr>
          <w:rFonts w:eastAsia="仿宋_GB2312" w:cs="Times New Roman"/>
        </w:rPr>
        <w:t>3.充电桩的操作指引清晰性</w:t>
      </w:r>
    </w:p>
    <w:p>
      <w:pPr>
        <w:ind w:firstLine="640"/>
        <w:rPr>
          <w:rFonts w:eastAsia="仿宋_GB2312" w:cs="Times New Roman"/>
        </w:rPr>
      </w:pPr>
      <w:r>
        <w:rPr>
          <w:rFonts w:eastAsia="仿宋_GB2312" w:cs="Times New Roman"/>
        </w:rPr>
        <w:t>从充电桩的操作指引清晰性来看，25.0%的认为非常易懂，56.6%的用户认为比较易懂，15.0%的用户认为一般，仅有3.4%的用户认为不够清晰。</w:t>
      </w:r>
    </w:p>
    <w:p>
      <w:pPr>
        <w:pStyle w:val="27"/>
        <w:rPr>
          <w:rFonts w:cs="Times New Roman"/>
        </w:rPr>
      </w:pPr>
      <w:r>
        <w:rPr>
          <w:rFonts w:cs="Times New Roman"/>
        </w:rPr>
        <w:drawing>
          <wp:inline distT="0" distB="0" distL="114300" distR="114300">
            <wp:extent cx="5105400" cy="2486660"/>
            <wp:effectExtent l="0" t="0" r="0" b="0"/>
            <wp:docPr id="1399900722" name="图表 13999007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7"/>
        <w:ind w:firstLine="360"/>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cs="Times New Roman"/>
        </w:rPr>
        <w:t>充电桩操作指引清晰性（%）</w:t>
      </w:r>
    </w:p>
    <w:p>
      <w:pPr>
        <w:ind w:firstLine="640"/>
        <w:rPr>
          <w:rFonts w:eastAsia="仿宋_GB2312" w:cs="Times New Roman"/>
        </w:rPr>
      </w:pPr>
      <w:r>
        <w:rPr>
          <w:rFonts w:eastAsia="仿宋_GB2312" w:cs="Times New Roman"/>
        </w:rPr>
        <w:t>4.公共充电基础设施建设情况</w:t>
      </w:r>
    </w:p>
    <w:p>
      <w:pPr>
        <w:ind w:firstLine="640"/>
        <w:rPr>
          <w:rFonts w:eastAsia="仿宋_GB2312" w:cs="Times New Roman"/>
        </w:rPr>
      </w:pPr>
      <w:r>
        <w:rPr>
          <w:rFonts w:hint="eastAsia" w:eastAsia="仿宋_GB2312" w:cs="Times New Roman"/>
        </w:rPr>
        <w:t>从用户经常活动的区域公共充电基础设施建设情况来看，15.3%用户认为还有很多闲置的，56.0%的用户认为刚好，能满足充电需求，23.2%的认为不能满足充电需求</w:t>
      </w:r>
      <w:r>
        <w:rPr>
          <w:rFonts w:eastAsia="仿宋_GB2312" w:cs="Times New Roman"/>
        </w:rPr>
        <w:t>。</w:t>
      </w:r>
    </w:p>
    <w:p>
      <w:pPr>
        <w:pStyle w:val="27"/>
        <w:jc w:val="center"/>
        <w:rPr>
          <w:rFonts w:cs="Times New Roman"/>
        </w:rPr>
      </w:pPr>
      <w:r>
        <w:rPr>
          <w:rFonts w:cs="Times New Roman"/>
        </w:rPr>
        <w:drawing>
          <wp:inline distT="0" distB="0" distL="114300" distR="114300">
            <wp:extent cx="5080000" cy="2421255"/>
            <wp:effectExtent l="0" t="0" r="6350" b="0"/>
            <wp:docPr id="1186685426" name="图表 11866854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7"/>
        <w:ind w:firstLine="360"/>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t>经常活动的区域公共充电基础设施建设情况（%）</w:t>
      </w:r>
    </w:p>
    <w:p>
      <w:pPr>
        <w:ind w:firstLine="640"/>
        <w:rPr>
          <w:rFonts w:eastAsia="仿宋_GB2312" w:cs="Times New Roman"/>
        </w:rPr>
      </w:pPr>
      <w:r>
        <w:rPr>
          <w:rFonts w:eastAsia="仿宋_GB2312" w:cs="Times New Roman"/>
        </w:rPr>
        <w:t>对于公共充电桩的地理位置，用户更希望在居住小区周边、公共停车场和商业中心，分别占比50.2%、46.6%和40.8%。</w:t>
      </w:r>
    </w:p>
    <w:p>
      <w:pPr>
        <w:pStyle w:val="27"/>
        <w:jc w:val="center"/>
        <w:rPr>
          <w:rFonts w:cs="Times New Roman"/>
        </w:rPr>
      </w:pPr>
      <w:r>
        <w:rPr>
          <w:rFonts w:cs="Times New Roman"/>
        </w:rPr>
        <w:drawing>
          <wp:inline distT="0" distB="0" distL="114300" distR="114300">
            <wp:extent cx="5080000" cy="3928110"/>
            <wp:effectExtent l="0" t="0" r="0" b="0"/>
            <wp:docPr id="284564766" name="图表 2845647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7"/>
        <w:ind w:firstLine="360"/>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t>公共充电基础设施健设（%）</w:t>
      </w:r>
    </w:p>
    <w:p>
      <w:pPr>
        <w:pStyle w:val="4"/>
        <w:spacing w:before="0" w:after="0" w:line="560" w:lineRule="exact"/>
        <w:ind w:firstLine="643"/>
        <w:rPr>
          <w:rFonts w:eastAsia="仿宋_GB2312" w:cs="Times New Roman"/>
        </w:rPr>
      </w:pPr>
      <w:bookmarkStart w:id="21" w:name="_Toc157760691"/>
      <w:r>
        <w:rPr>
          <w:rFonts w:eastAsia="仿宋_GB2312" w:cs="Times New Roman"/>
        </w:rPr>
        <w:t>（二）充电服务满意度</w:t>
      </w:r>
      <w:bookmarkEnd w:id="21"/>
    </w:p>
    <w:p>
      <w:pPr>
        <w:ind w:firstLine="640"/>
        <w:rPr>
          <w:rFonts w:eastAsia="仿宋_GB2312" w:cs="Times New Roman"/>
        </w:rPr>
      </w:pPr>
      <w:r>
        <w:rPr>
          <w:rFonts w:eastAsia="仿宋_GB2312" w:cs="Times New Roman"/>
        </w:rPr>
        <w:t>从用户对充电服务体验的满意度得分来看，可操作性、安全性、退款便利性满意度得分较高，均超过80分；售后服务和充电价格得分较低，分别为79.2分和78.9分。佛山市应该</w:t>
      </w:r>
      <w:r>
        <w:rPr>
          <w:rFonts w:hint="eastAsia" w:eastAsia="仿宋_GB2312" w:cs="Times New Roman"/>
          <w:lang w:eastAsia="zh-CN"/>
        </w:rPr>
        <w:t>继续提升</w:t>
      </w:r>
      <w:r>
        <w:rPr>
          <w:rFonts w:eastAsia="仿宋_GB2312" w:cs="Times New Roman"/>
        </w:rPr>
        <w:t>电车充电的服务</w:t>
      </w:r>
      <w:r>
        <w:rPr>
          <w:rFonts w:hint="eastAsia" w:eastAsia="仿宋_GB2312" w:cs="Times New Roman"/>
          <w:lang w:eastAsia="zh-CN"/>
        </w:rPr>
        <w:t>水平</w:t>
      </w:r>
      <w:r>
        <w:rPr>
          <w:rFonts w:eastAsia="仿宋_GB2312" w:cs="Times New Roman"/>
        </w:rPr>
        <w:t>，</w:t>
      </w:r>
      <w:r>
        <w:rPr>
          <w:rFonts w:hint="eastAsia" w:eastAsia="仿宋_GB2312" w:cs="Times New Roman"/>
          <w:lang w:eastAsia="zh-CN"/>
        </w:rPr>
        <w:t>公开透明充</w:t>
      </w:r>
      <w:r>
        <w:rPr>
          <w:rFonts w:eastAsia="仿宋_GB2312" w:cs="Times New Roman"/>
        </w:rPr>
        <w:t>电价格，提</w:t>
      </w:r>
      <w:r>
        <w:rPr>
          <w:rFonts w:hint="eastAsia" w:eastAsia="仿宋_GB2312" w:cs="Times New Roman"/>
          <w:lang w:eastAsia="zh-CN"/>
        </w:rPr>
        <w:t>升</w:t>
      </w:r>
      <w:r>
        <w:rPr>
          <w:rFonts w:eastAsia="仿宋_GB2312" w:cs="Times New Roman"/>
        </w:rPr>
        <w:t>用户的满意度。</w:t>
      </w:r>
    </w:p>
    <w:p>
      <w:pPr>
        <w:pStyle w:val="27"/>
        <w:rPr>
          <w:rFonts w:cs="Times New Roman"/>
        </w:rPr>
      </w:pPr>
      <w:r>
        <w:rPr>
          <w:rFonts w:cs="Times New Roman"/>
        </w:rPr>
        <w:drawing>
          <wp:inline distT="0" distB="0" distL="114300" distR="114300">
            <wp:extent cx="5080000" cy="4074160"/>
            <wp:effectExtent l="0" t="0" r="0" b="0"/>
            <wp:docPr id="1031964220" name="图表 1031964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pStyle w:val="7"/>
        <w:ind w:firstLine="360"/>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17</w:t>
      </w:r>
      <w:r>
        <w:rPr>
          <w:rFonts w:ascii="Times New Roman" w:hAnsi="Times New Roman" w:cs="Times New Roman"/>
        </w:rPr>
        <w:fldChar w:fldCharType="end"/>
      </w:r>
      <w:r>
        <w:rPr>
          <w:rFonts w:ascii="Times New Roman" w:hAnsi="Times New Roman" w:cs="Times New Roman"/>
        </w:rPr>
        <w:t>充电服务满意度得分情况</w:t>
      </w:r>
    </w:p>
    <w:p>
      <w:pPr>
        <w:widowControl/>
        <w:spacing w:line="240" w:lineRule="auto"/>
        <w:ind w:firstLine="0" w:firstLineChars="0"/>
        <w:jc w:val="left"/>
        <w:rPr>
          <w:rFonts w:eastAsia="仿宋_GB2312" w:cs="Times New Roman"/>
        </w:rPr>
      </w:pPr>
      <w:r>
        <w:rPr>
          <w:rFonts w:eastAsia="仿宋_GB2312" w:cs="Times New Roman"/>
        </w:rPr>
        <w:br w:type="page"/>
      </w:r>
    </w:p>
    <w:p>
      <w:pPr>
        <w:ind w:firstLine="640"/>
        <w:rPr>
          <w:rFonts w:eastAsia="仿宋_GB2312" w:cs="Times New Roman"/>
          <w:color w:val="FF0000"/>
          <w:highlight w:val="yellow"/>
        </w:rPr>
      </w:pPr>
      <w:r>
        <w:rPr>
          <w:rFonts w:eastAsia="仿宋_GB2312" w:cs="Times New Roman"/>
        </w:rPr>
        <w:t>调查结果显示，用户对充电服务的整体满意率（非常满意和比较满意）为78.8%。</w:t>
      </w:r>
    </w:p>
    <w:p>
      <w:pPr>
        <w:pStyle w:val="27"/>
        <w:rPr>
          <w:rFonts w:cs="Times New Roman"/>
        </w:rPr>
      </w:pPr>
      <w:r>
        <w:rPr>
          <w:rFonts w:cs="Times New Roman"/>
        </w:rPr>
        <w:drawing>
          <wp:inline distT="0" distB="0" distL="0" distR="0">
            <wp:extent cx="5196840" cy="2879725"/>
            <wp:effectExtent l="0" t="0" r="0" b="0"/>
            <wp:docPr id="2068954013" name="图表 20689540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pStyle w:val="7"/>
        <w:ind w:firstLine="360"/>
        <w:rPr>
          <w:rFonts w:ascii="Times New Roman" w:hAnsi="Times New Roman" w:cs="Times New Roman"/>
          <w:color w:val="FF0000"/>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18</w:t>
      </w:r>
      <w:r>
        <w:rPr>
          <w:rFonts w:ascii="Times New Roman" w:hAnsi="Times New Roman" w:cs="Times New Roman"/>
        </w:rPr>
        <w:fldChar w:fldCharType="end"/>
      </w:r>
      <w:r>
        <w:rPr>
          <w:rFonts w:ascii="Times New Roman" w:hAnsi="Times New Roman" w:cs="Times New Roman"/>
        </w:rPr>
        <w:t>整体满意</w:t>
      </w:r>
      <w:r>
        <w:rPr>
          <w:rFonts w:hint="eastAsia" w:ascii="Times New Roman" w:hAnsi="Times New Roman" w:cs="Times New Roman"/>
        </w:rPr>
        <w:t>率</w:t>
      </w:r>
      <w:r>
        <w:rPr>
          <w:rFonts w:ascii="Times New Roman" w:hAnsi="Times New Roman" w:cs="Times New Roman"/>
        </w:rPr>
        <w:t>情况（%）</w:t>
      </w:r>
    </w:p>
    <w:p>
      <w:pPr>
        <w:ind w:firstLine="640"/>
        <w:rPr>
          <w:rFonts w:eastAsia="仿宋_GB2312" w:cs="Times New Roman"/>
        </w:rPr>
      </w:pPr>
      <w:r>
        <w:rPr>
          <w:rFonts w:eastAsia="仿宋_GB2312" w:cs="Times New Roman"/>
        </w:rPr>
        <w:t>调查结果显示，用户对充电桩分布的整体满意率（非常满意和比较满意）为79.2%。</w:t>
      </w:r>
    </w:p>
    <w:p>
      <w:pPr>
        <w:pStyle w:val="27"/>
        <w:rPr>
          <w:rFonts w:cs="Times New Roman"/>
        </w:rPr>
      </w:pPr>
      <w:r>
        <w:rPr>
          <w:rFonts w:cs="Times New Roman"/>
        </w:rPr>
        <w:drawing>
          <wp:inline distT="0" distB="0" distL="0" distR="0">
            <wp:extent cx="5196840" cy="2879725"/>
            <wp:effectExtent l="0" t="0" r="0" b="0"/>
            <wp:docPr id="1866644308" name="图表 1866644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7"/>
        <w:ind w:firstLine="360"/>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r>
        <w:rPr>
          <w:rFonts w:ascii="Times New Roman" w:hAnsi="Times New Roman" w:cs="Times New Roman"/>
        </w:rPr>
        <w:t>充电桩分布满意</w:t>
      </w:r>
      <w:r>
        <w:rPr>
          <w:rFonts w:hint="eastAsia" w:ascii="Times New Roman" w:hAnsi="Times New Roman" w:cs="Times New Roman"/>
        </w:rPr>
        <w:t>率</w:t>
      </w:r>
      <w:r>
        <w:rPr>
          <w:rFonts w:ascii="Times New Roman" w:hAnsi="Times New Roman" w:cs="Times New Roman"/>
        </w:rPr>
        <w:t>情况（%）</w:t>
      </w:r>
    </w:p>
    <w:p>
      <w:pPr>
        <w:widowControl/>
        <w:spacing w:line="240" w:lineRule="auto"/>
        <w:ind w:firstLine="0" w:firstLineChars="0"/>
        <w:jc w:val="left"/>
        <w:rPr>
          <w:rFonts w:eastAsia="仿宋_GB2312" w:cs="Times New Roman"/>
        </w:rPr>
      </w:pPr>
      <w:r>
        <w:rPr>
          <w:rFonts w:eastAsia="仿宋_GB2312" w:cs="Times New Roman"/>
        </w:rPr>
        <w:br w:type="page"/>
      </w:r>
    </w:p>
    <w:p>
      <w:pPr>
        <w:ind w:firstLine="640"/>
        <w:rPr>
          <w:rFonts w:eastAsia="仿宋_GB2312" w:cs="Times New Roman"/>
        </w:rPr>
      </w:pPr>
      <w:r>
        <w:rPr>
          <w:rFonts w:eastAsia="仿宋_GB2312" w:cs="Times New Roman"/>
        </w:rPr>
        <w:t>调查结果显示，用户对充电价格的整体满意率（非常满意和比较满意）为74.0%。</w:t>
      </w:r>
    </w:p>
    <w:p>
      <w:pPr>
        <w:pStyle w:val="27"/>
        <w:rPr>
          <w:rFonts w:cs="Times New Roman"/>
        </w:rPr>
      </w:pPr>
      <w:r>
        <w:rPr>
          <w:rFonts w:cs="Times New Roman"/>
        </w:rPr>
        <w:drawing>
          <wp:inline distT="0" distB="0" distL="0" distR="0">
            <wp:extent cx="5196840" cy="2879725"/>
            <wp:effectExtent l="0" t="0" r="0" b="0"/>
            <wp:docPr id="1322091947" name="图表 13220919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7"/>
        <w:ind w:firstLine="360"/>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t>充电价格满意</w:t>
      </w:r>
      <w:r>
        <w:rPr>
          <w:rFonts w:hint="eastAsia" w:ascii="Times New Roman" w:hAnsi="Times New Roman" w:cs="Times New Roman"/>
        </w:rPr>
        <w:t>率</w:t>
      </w:r>
      <w:r>
        <w:rPr>
          <w:rFonts w:ascii="Times New Roman" w:hAnsi="Times New Roman" w:cs="Times New Roman"/>
        </w:rPr>
        <w:t>情况（%）</w:t>
      </w:r>
    </w:p>
    <w:p>
      <w:pPr>
        <w:ind w:firstLine="640"/>
        <w:rPr>
          <w:rFonts w:eastAsia="仿宋_GB2312" w:cs="Times New Roman"/>
          <w:color w:val="000000"/>
        </w:rPr>
      </w:pPr>
      <w:r>
        <w:rPr>
          <w:rFonts w:eastAsia="仿宋_GB2312" w:cs="Times New Roman"/>
        </w:rPr>
        <w:t>调查结果显示，用户对充电速度的整体满意率（非常满意和比较满意）为</w:t>
      </w:r>
      <w:r>
        <w:rPr>
          <w:rFonts w:eastAsia="仿宋_GB2312" w:cs="Times New Roman"/>
          <w:color w:val="000000"/>
        </w:rPr>
        <w:t>76.0%。</w:t>
      </w:r>
    </w:p>
    <w:p>
      <w:pPr>
        <w:pStyle w:val="27"/>
        <w:rPr>
          <w:rFonts w:cs="Times New Roman"/>
        </w:rPr>
      </w:pPr>
      <w:r>
        <w:rPr>
          <w:rFonts w:cs="Times New Roman"/>
        </w:rPr>
        <w:drawing>
          <wp:inline distT="0" distB="0" distL="0" distR="0">
            <wp:extent cx="5196840" cy="2879725"/>
            <wp:effectExtent l="0" t="0" r="0" b="0"/>
            <wp:docPr id="678420653" name="图表 6784206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pStyle w:val="7"/>
        <w:ind w:firstLine="360"/>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21</w:t>
      </w:r>
      <w:r>
        <w:rPr>
          <w:rFonts w:ascii="Times New Roman" w:hAnsi="Times New Roman" w:cs="Times New Roman"/>
        </w:rPr>
        <w:fldChar w:fldCharType="end"/>
      </w:r>
      <w:r>
        <w:rPr>
          <w:rFonts w:ascii="Times New Roman" w:hAnsi="Times New Roman" w:cs="Times New Roman"/>
        </w:rPr>
        <w:t>充电速度满意</w:t>
      </w:r>
      <w:r>
        <w:rPr>
          <w:rFonts w:hint="eastAsia" w:ascii="Times New Roman" w:hAnsi="Times New Roman" w:cs="Times New Roman"/>
        </w:rPr>
        <w:t>率</w:t>
      </w:r>
      <w:r>
        <w:rPr>
          <w:rFonts w:ascii="Times New Roman" w:hAnsi="Times New Roman" w:cs="Times New Roman"/>
        </w:rPr>
        <w:t>情况（%）</w:t>
      </w:r>
    </w:p>
    <w:p>
      <w:pPr>
        <w:widowControl/>
        <w:spacing w:line="240" w:lineRule="auto"/>
        <w:ind w:firstLine="0" w:firstLineChars="0"/>
        <w:jc w:val="left"/>
        <w:rPr>
          <w:rFonts w:eastAsia="仿宋_GB2312" w:cs="Times New Roman"/>
        </w:rPr>
      </w:pPr>
      <w:r>
        <w:rPr>
          <w:rFonts w:eastAsia="仿宋_GB2312" w:cs="Times New Roman"/>
        </w:rPr>
        <w:br w:type="page"/>
      </w:r>
    </w:p>
    <w:p>
      <w:pPr>
        <w:ind w:firstLine="640"/>
        <w:rPr>
          <w:rFonts w:eastAsia="仿宋_GB2312" w:cs="Times New Roman"/>
        </w:rPr>
      </w:pPr>
      <w:r>
        <w:rPr>
          <w:rFonts w:eastAsia="仿宋_GB2312" w:cs="Times New Roman"/>
        </w:rPr>
        <w:t>调查结果显示，用户对充电安全性的整体满意率（非常满意和比较满意）为78.2%。</w:t>
      </w:r>
    </w:p>
    <w:p>
      <w:pPr>
        <w:pStyle w:val="27"/>
        <w:rPr>
          <w:rFonts w:cs="Times New Roman"/>
        </w:rPr>
      </w:pPr>
    </w:p>
    <w:p>
      <w:pPr>
        <w:pStyle w:val="27"/>
        <w:rPr>
          <w:rFonts w:cs="Times New Roman"/>
        </w:rPr>
      </w:pPr>
      <w:r>
        <w:rPr>
          <w:rFonts w:cs="Times New Roman"/>
        </w:rPr>
        <w:drawing>
          <wp:inline distT="0" distB="0" distL="0" distR="0">
            <wp:extent cx="5196840" cy="2879725"/>
            <wp:effectExtent l="0" t="0" r="0" b="0"/>
            <wp:docPr id="220819942" name="图表 2208199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Style w:val="7"/>
        <w:ind w:firstLine="360"/>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t>安全性满意</w:t>
      </w:r>
      <w:r>
        <w:rPr>
          <w:rFonts w:hint="eastAsia" w:ascii="Times New Roman" w:hAnsi="Times New Roman" w:cs="Times New Roman"/>
        </w:rPr>
        <w:t>率</w:t>
      </w:r>
      <w:r>
        <w:rPr>
          <w:rFonts w:ascii="Times New Roman" w:hAnsi="Times New Roman" w:cs="Times New Roman"/>
        </w:rPr>
        <w:t>情况（%）</w:t>
      </w:r>
    </w:p>
    <w:p>
      <w:pPr>
        <w:ind w:firstLine="640"/>
        <w:rPr>
          <w:rFonts w:eastAsia="仿宋_GB2312" w:cs="Times New Roman"/>
        </w:rPr>
      </w:pPr>
      <w:r>
        <w:rPr>
          <w:rFonts w:eastAsia="仿宋_GB2312" w:cs="Times New Roman"/>
        </w:rPr>
        <w:t>调查结果显示，用户对充电桩可操作性的整体满意率（非常满意和比较满意）为79.6%。</w:t>
      </w:r>
    </w:p>
    <w:p>
      <w:pPr>
        <w:pStyle w:val="27"/>
        <w:rPr>
          <w:rFonts w:cs="Times New Roman"/>
        </w:rPr>
      </w:pPr>
      <w:r>
        <w:rPr>
          <w:rFonts w:cs="Times New Roman"/>
        </w:rPr>
        <w:drawing>
          <wp:inline distT="0" distB="0" distL="0" distR="0">
            <wp:extent cx="5196840" cy="2879725"/>
            <wp:effectExtent l="0" t="0" r="0" b="0"/>
            <wp:docPr id="911781260" name="图表 911781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pStyle w:val="7"/>
        <w:ind w:firstLine="360"/>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23</w:t>
      </w:r>
      <w:r>
        <w:rPr>
          <w:rFonts w:ascii="Times New Roman" w:hAnsi="Times New Roman" w:cs="Times New Roman"/>
        </w:rPr>
        <w:fldChar w:fldCharType="end"/>
      </w:r>
      <w:r>
        <w:rPr>
          <w:rFonts w:ascii="Times New Roman" w:hAnsi="Times New Roman" w:cs="Times New Roman"/>
        </w:rPr>
        <w:t>可操作性满意</w:t>
      </w:r>
      <w:r>
        <w:rPr>
          <w:rFonts w:hint="eastAsia" w:ascii="Times New Roman" w:hAnsi="Times New Roman" w:cs="Times New Roman"/>
        </w:rPr>
        <w:t>率</w:t>
      </w:r>
      <w:r>
        <w:rPr>
          <w:rFonts w:ascii="Times New Roman" w:hAnsi="Times New Roman" w:cs="Times New Roman"/>
        </w:rPr>
        <w:t>情况（%）</w:t>
      </w:r>
    </w:p>
    <w:p>
      <w:pPr>
        <w:ind w:firstLine="640"/>
        <w:rPr>
          <w:rFonts w:eastAsia="仿宋_GB2312" w:cs="Times New Roman"/>
        </w:rPr>
      </w:pPr>
      <w:r>
        <w:rPr>
          <w:rFonts w:eastAsia="仿宋_GB2312" w:cs="Times New Roman"/>
        </w:rPr>
        <w:t>调查结果显示，用户对充电售后服务的整体满意率（非常满意和比较满意）为75.3%。</w:t>
      </w:r>
    </w:p>
    <w:p>
      <w:pPr>
        <w:pStyle w:val="27"/>
        <w:rPr>
          <w:rFonts w:cs="Times New Roman"/>
        </w:rPr>
      </w:pPr>
      <w:r>
        <w:rPr>
          <w:rFonts w:cs="Times New Roman"/>
        </w:rPr>
        <w:drawing>
          <wp:inline distT="0" distB="0" distL="0" distR="0">
            <wp:extent cx="5196840" cy="2879725"/>
            <wp:effectExtent l="0" t="0" r="0" b="0"/>
            <wp:docPr id="944806456" name="图表 944806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7"/>
        <w:ind w:firstLine="360"/>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r>
        <w:rPr>
          <w:rFonts w:ascii="Times New Roman" w:hAnsi="Times New Roman" w:cs="Times New Roman"/>
        </w:rPr>
        <w:t>售后服务满意</w:t>
      </w:r>
      <w:r>
        <w:rPr>
          <w:rFonts w:hint="eastAsia" w:ascii="Times New Roman" w:hAnsi="Times New Roman" w:cs="Times New Roman"/>
        </w:rPr>
        <w:t>率</w:t>
      </w:r>
      <w:r>
        <w:rPr>
          <w:rFonts w:ascii="Times New Roman" w:hAnsi="Times New Roman" w:cs="Times New Roman"/>
        </w:rPr>
        <w:t>情况（%）</w:t>
      </w:r>
    </w:p>
    <w:p>
      <w:pPr>
        <w:ind w:firstLine="640"/>
        <w:rPr>
          <w:rFonts w:cs="Times New Roman"/>
        </w:rPr>
      </w:pPr>
      <w:r>
        <w:rPr>
          <w:rFonts w:eastAsia="仿宋_GB2312" w:cs="Times New Roman"/>
        </w:rPr>
        <w:t>调查结果显示，用户对充电服务退款便利性的整体满意率（非常满意和比较满意）为78.1%</w:t>
      </w:r>
      <w:r>
        <w:rPr>
          <w:rFonts w:cs="Times New Roman"/>
        </w:rPr>
        <w:t>。</w:t>
      </w:r>
    </w:p>
    <w:p>
      <w:pPr>
        <w:pStyle w:val="27"/>
        <w:rPr>
          <w:rFonts w:cs="Times New Roman"/>
        </w:rPr>
      </w:pPr>
      <w:r>
        <w:rPr>
          <w:rFonts w:cs="Times New Roman"/>
        </w:rPr>
        <w:drawing>
          <wp:inline distT="0" distB="0" distL="0" distR="0">
            <wp:extent cx="5196840" cy="2879725"/>
            <wp:effectExtent l="0" t="0" r="0" b="0"/>
            <wp:docPr id="1525303932" name="图表 15253039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7"/>
        <w:ind w:firstLine="360"/>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r>
        <w:rPr>
          <w:rFonts w:ascii="Times New Roman" w:hAnsi="Times New Roman" w:cs="Times New Roman"/>
        </w:rPr>
        <w:t>退款便利性满意</w:t>
      </w:r>
      <w:r>
        <w:rPr>
          <w:rFonts w:hint="eastAsia" w:ascii="Times New Roman" w:hAnsi="Times New Roman" w:cs="Times New Roman"/>
        </w:rPr>
        <w:t>率</w:t>
      </w:r>
      <w:r>
        <w:rPr>
          <w:rFonts w:ascii="Times New Roman" w:hAnsi="Times New Roman" w:cs="Times New Roman"/>
        </w:rPr>
        <w:t>情况（%）</w:t>
      </w:r>
    </w:p>
    <w:p>
      <w:pPr>
        <w:ind w:firstLine="640"/>
        <w:rPr>
          <w:rFonts w:eastAsia="仿宋_GB2312" w:cs="Times New Roman"/>
        </w:rPr>
      </w:pPr>
      <w:r>
        <w:rPr>
          <w:rFonts w:eastAsia="仿宋_GB2312" w:cs="Times New Roman"/>
        </w:rPr>
        <w:t>从佛山市各区充电服务体验的满意度结果来看，整体满意度方面，三水区得分最高为81.6分，禅城区得分最低为79.0分。充电桩分布方面，顺德区得分最高为80.9分，南海区得分最低为79.2分。充电价格方面，顺德区得分最高为80.6分，高明区得分最低为74.2分。充电速度方面，顺德区得分最高为80.9分，禅城区得分最低为78.0分。充电桩安全性方面，三水区得分最高为83.4分，南海区得分最低为79.1分。充电桩可操作性方面，三水区得分最高为81.7分，禅城区得分最低为79.1分。充电售后服务方面，三水区得分最高为80.3分，高明区得分最低为77.1分。退款便利性方面，三水区得分最高为81.5分，禅城区得分最低为79.1分。</w:t>
      </w:r>
    </w:p>
    <w:p>
      <w:pPr>
        <w:pStyle w:val="7"/>
        <w:rPr>
          <w:rFonts w:ascii="Times New Roman" w:hAnsi="Times New Roman" w:cs="Times New Roman"/>
        </w:rPr>
      </w:pPr>
      <w:r>
        <w:rPr>
          <w:rFonts w:ascii="Times New Roman" w:hAnsi="Times New Roman" w:cs="Times New Roman"/>
        </w:rPr>
        <w:t xml:space="preserve">表 </w:t>
      </w:r>
      <w:r>
        <w:rPr>
          <w:rFonts w:ascii="Times New Roman" w:hAnsi="Times New Roman" w:cs="Times New Roman"/>
        </w:rPr>
        <w:fldChar w:fldCharType="begin"/>
      </w:r>
      <w:r>
        <w:rPr>
          <w:rFonts w:ascii="Times New Roman" w:hAnsi="Times New Roman" w:cs="Times New Roman"/>
        </w:rPr>
        <w:instrText xml:space="preserve"> SEQ 表 \* ARABIC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t> 佛山市各区满意度得分</w:t>
      </w:r>
    </w:p>
    <w:tbl>
      <w:tblPr>
        <w:tblStyle w:val="13"/>
        <w:tblW w:w="8222" w:type="dxa"/>
        <w:tblInd w:w="108" w:type="dxa"/>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1086"/>
        <w:gridCol w:w="1087"/>
        <w:gridCol w:w="1087"/>
        <w:gridCol w:w="1087"/>
        <w:gridCol w:w="1087"/>
        <w:gridCol w:w="1087"/>
      </w:tblGrid>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1701" w:type="dxa"/>
            <w:tcBorders>
              <w:top w:val="single" w:color="auto" w:sz="18" w:space="0"/>
              <w:bottom w:val="single" w:color="auto" w:sz="8" w:space="0"/>
            </w:tcBorders>
            <w:shd w:val="clear" w:color="auto" w:fill="E36C09" w:themeFill="accent6" w:themeFillShade="BF"/>
            <w:noWrap/>
            <w:vAlign w:val="center"/>
          </w:tcPr>
          <w:p>
            <w:pPr>
              <w:widowControl/>
              <w:spacing w:line="240" w:lineRule="auto"/>
              <w:ind w:firstLine="0" w:firstLineChars="0"/>
              <w:jc w:val="left"/>
              <w:rPr>
                <w:rFonts w:eastAsia="仿宋_GB2312" w:cs="Times New Roman"/>
                <w:b/>
                <w:bCs/>
                <w:color w:val="FFFFFF" w:themeColor="background1"/>
                <w:kern w:val="0"/>
                <w:sz w:val="28"/>
                <w:szCs w:val="28"/>
              </w:rPr>
            </w:pPr>
          </w:p>
        </w:tc>
        <w:tc>
          <w:tcPr>
            <w:tcW w:w="1086" w:type="dxa"/>
            <w:tcBorders>
              <w:top w:val="single" w:color="auto" w:sz="18" w:space="0"/>
              <w:bottom w:val="single" w:color="auto" w:sz="8" w:space="0"/>
            </w:tcBorders>
            <w:shd w:val="clear" w:color="auto" w:fill="E36C09" w:themeFill="accent6" w:themeFillShade="BF"/>
            <w:noWrap/>
            <w:vAlign w:val="center"/>
          </w:tcPr>
          <w:p>
            <w:pPr>
              <w:widowControl/>
              <w:spacing w:line="240" w:lineRule="auto"/>
              <w:ind w:firstLine="0" w:firstLineChars="0"/>
              <w:jc w:val="center"/>
              <w:rPr>
                <w:rFonts w:eastAsia="仿宋_GB2312" w:cs="Times New Roman"/>
                <w:b/>
                <w:bCs/>
                <w:color w:val="FFFFFF" w:themeColor="background1"/>
                <w:kern w:val="0"/>
                <w:sz w:val="28"/>
                <w:szCs w:val="28"/>
              </w:rPr>
            </w:pPr>
            <w:r>
              <w:rPr>
                <w:rFonts w:hint="eastAsia" w:eastAsia="仿宋_GB2312" w:cs="Times New Roman"/>
                <w:b/>
                <w:bCs/>
                <w:color w:val="FFFFFF" w:themeColor="background1"/>
                <w:kern w:val="0"/>
                <w:sz w:val="28"/>
                <w:szCs w:val="28"/>
              </w:rPr>
              <w:t>整体</w:t>
            </w:r>
          </w:p>
        </w:tc>
        <w:tc>
          <w:tcPr>
            <w:tcW w:w="1087" w:type="dxa"/>
            <w:tcBorders>
              <w:top w:val="single" w:color="auto" w:sz="18" w:space="0"/>
              <w:bottom w:val="single" w:color="auto" w:sz="8" w:space="0"/>
            </w:tcBorders>
            <w:shd w:val="clear" w:color="auto" w:fill="E36C09" w:themeFill="accent6" w:themeFillShade="BF"/>
            <w:noWrap/>
            <w:vAlign w:val="center"/>
          </w:tcPr>
          <w:p>
            <w:pPr>
              <w:widowControl/>
              <w:spacing w:line="240" w:lineRule="auto"/>
              <w:ind w:firstLine="0" w:firstLineChars="0"/>
              <w:jc w:val="center"/>
              <w:rPr>
                <w:rFonts w:hint="eastAsia" w:ascii="Times New Roman" w:hAnsi="Times New Roman" w:eastAsia="仿宋_GB2312" w:cs="Times New Roman"/>
                <w:b/>
                <w:bCs/>
                <w:color w:val="FFFFFF" w:themeColor="background1"/>
                <w:kern w:val="0"/>
                <w:sz w:val="28"/>
                <w:szCs w:val="28"/>
                <w:lang w:val="en-US" w:eastAsia="zh-CN" w:bidi="ar-SA"/>
              </w:rPr>
            </w:pPr>
            <w:r>
              <w:rPr>
                <w:rFonts w:eastAsia="仿宋_GB2312" w:cs="Times New Roman"/>
                <w:b/>
                <w:bCs/>
                <w:color w:val="FFFFFF" w:themeColor="background1"/>
                <w:kern w:val="0"/>
                <w:sz w:val="28"/>
                <w:szCs w:val="28"/>
              </w:rPr>
              <w:t>禅城区</w:t>
            </w:r>
          </w:p>
        </w:tc>
        <w:tc>
          <w:tcPr>
            <w:tcW w:w="1087" w:type="dxa"/>
            <w:tcBorders>
              <w:top w:val="single" w:color="auto" w:sz="18" w:space="0"/>
              <w:bottom w:val="single" w:color="auto" w:sz="8" w:space="0"/>
            </w:tcBorders>
            <w:shd w:val="clear" w:color="auto" w:fill="E36C09" w:themeFill="accent6" w:themeFillShade="BF"/>
            <w:noWrap/>
            <w:vAlign w:val="center"/>
          </w:tcPr>
          <w:p>
            <w:pPr>
              <w:widowControl/>
              <w:spacing w:line="240" w:lineRule="auto"/>
              <w:ind w:firstLine="0" w:firstLineChars="0"/>
              <w:jc w:val="center"/>
              <w:rPr>
                <w:rFonts w:eastAsia="仿宋_GB2312" w:cs="Times New Roman"/>
                <w:b/>
                <w:bCs/>
                <w:color w:val="FFFFFF" w:themeColor="background1"/>
                <w:kern w:val="0"/>
                <w:sz w:val="28"/>
                <w:szCs w:val="28"/>
              </w:rPr>
            </w:pPr>
            <w:r>
              <w:rPr>
                <w:rFonts w:eastAsia="仿宋_GB2312" w:cs="Times New Roman"/>
                <w:b/>
                <w:bCs/>
                <w:color w:val="FFFFFF" w:themeColor="background1"/>
                <w:kern w:val="0"/>
                <w:sz w:val="28"/>
                <w:szCs w:val="28"/>
              </w:rPr>
              <w:t>南海区</w:t>
            </w:r>
          </w:p>
        </w:tc>
        <w:tc>
          <w:tcPr>
            <w:tcW w:w="1087" w:type="dxa"/>
            <w:tcBorders>
              <w:top w:val="single" w:color="auto" w:sz="18" w:space="0"/>
              <w:bottom w:val="single" w:color="auto" w:sz="8" w:space="0"/>
            </w:tcBorders>
            <w:shd w:val="clear" w:color="auto" w:fill="E36C09" w:themeFill="accent6" w:themeFillShade="BF"/>
            <w:noWrap/>
            <w:vAlign w:val="center"/>
          </w:tcPr>
          <w:p>
            <w:pPr>
              <w:widowControl/>
              <w:spacing w:line="240" w:lineRule="auto"/>
              <w:ind w:firstLine="0" w:firstLineChars="0"/>
              <w:jc w:val="center"/>
              <w:rPr>
                <w:rFonts w:eastAsia="仿宋_GB2312" w:cs="Times New Roman"/>
                <w:b/>
                <w:bCs/>
                <w:color w:val="FFFFFF" w:themeColor="background1"/>
                <w:kern w:val="0"/>
                <w:sz w:val="28"/>
                <w:szCs w:val="28"/>
              </w:rPr>
            </w:pPr>
            <w:r>
              <w:rPr>
                <w:rFonts w:eastAsia="仿宋_GB2312" w:cs="Times New Roman"/>
                <w:b/>
                <w:bCs/>
                <w:color w:val="FFFFFF" w:themeColor="background1"/>
                <w:kern w:val="0"/>
                <w:sz w:val="28"/>
                <w:szCs w:val="28"/>
              </w:rPr>
              <w:t>顺德区</w:t>
            </w:r>
          </w:p>
        </w:tc>
        <w:tc>
          <w:tcPr>
            <w:tcW w:w="1087" w:type="dxa"/>
            <w:tcBorders>
              <w:top w:val="single" w:color="auto" w:sz="18" w:space="0"/>
              <w:bottom w:val="single" w:color="auto" w:sz="8" w:space="0"/>
            </w:tcBorders>
            <w:shd w:val="clear" w:color="auto" w:fill="E36C09" w:themeFill="accent6" w:themeFillShade="BF"/>
            <w:noWrap/>
            <w:vAlign w:val="center"/>
          </w:tcPr>
          <w:p>
            <w:pPr>
              <w:widowControl/>
              <w:spacing w:line="240" w:lineRule="auto"/>
              <w:ind w:firstLine="0" w:firstLineChars="0"/>
              <w:jc w:val="center"/>
              <w:rPr>
                <w:rFonts w:eastAsia="仿宋_GB2312" w:cs="Times New Roman"/>
                <w:b/>
                <w:bCs/>
                <w:color w:val="FFFFFF" w:themeColor="background1"/>
                <w:kern w:val="0"/>
                <w:sz w:val="28"/>
                <w:szCs w:val="28"/>
              </w:rPr>
            </w:pPr>
            <w:r>
              <w:rPr>
                <w:rFonts w:eastAsia="仿宋_GB2312" w:cs="Times New Roman"/>
                <w:b/>
                <w:bCs/>
                <w:color w:val="FFFFFF" w:themeColor="background1"/>
                <w:kern w:val="0"/>
                <w:sz w:val="28"/>
                <w:szCs w:val="28"/>
              </w:rPr>
              <w:t>高明区</w:t>
            </w:r>
          </w:p>
        </w:tc>
        <w:tc>
          <w:tcPr>
            <w:tcW w:w="1087" w:type="dxa"/>
            <w:tcBorders>
              <w:top w:val="single" w:color="auto" w:sz="18" w:space="0"/>
              <w:bottom w:val="single" w:color="auto" w:sz="8" w:space="0"/>
            </w:tcBorders>
            <w:shd w:val="clear" w:color="auto" w:fill="E36C09" w:themeFill="accent6" w:themeFillShade="BF"/>
            <w:noWrap/>
            <w:vAlign w:val="center"/>
          </w:tcPr>
          <w:p>
            <w:pPr>
              <w:widowControl/>
              <w:spacing w:line="240" w:lineRule="auto"/>
              <w:ind w:firstLine="0" w:firstLineChars="0"/>
              <w:jc w:val="center"/>
              <w:rPr>
                <w:rFonts w:eastAsia="仿宋_GB2312" w:cs="Times New Roman"/>
                <w:b/>
                <w:bCs/>
                <w:color w:val="FFFFFF" w:themeColor="background1"/>
                <w:kern w:val="0"/>
                <w:sz w:val="28"/>
                <w:szCs w:val="28"/>
              </w:rPr>
            </w:pPr>
            <w:r>
              <w:rPr>
                <w:rFonts w:eastAsia="仿宋_GB2312" w:cs="Times New Roman"/>
                <w:b/>
                <w:bCs/>
                <w:color w:val="FFFFFF" w:themeColor="background1"/>
                <w:kern w:val="0"/>
                <w:sz w:val="28"/>
                <w:szCs w:val="28"/>
              </w:rPr>
              <w:t>三水区</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1701" w:type="dxa"/>
            <w:tcBorders>
              <w:top w:val="single" w:color="auto" w:sz="8" w:space="0"/>
            </w:tcBorders>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eastAsia="仿宋_GB2312" w:cs="Times New Roman"/>
                <w:color w:val="000000"/>
                <w:kern w:val="0"/>
                <w:sz w:val="28"/>
                <w:szCs w:val="28"/>
              </w:rPr>
              <w:t>整体满意度</w:t>
            </w:r>
          </w:p>
        </w:tc>
        <w:tc>
          <w:tcPr>
            <w:tcW w:w="1086" w:type="dxa"/>
            <w:tcBorders>
              <w:top w:val="single" w:color="auto" w:sz="8" w:space="0"/>
            </w:tcBorders>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cs="Times New Roman"/>
                <w:color w:val="000000"/>
                <w:sz w:val="28"/>
                <w:szCs w:val="28"/>
              </w:rPr>
              <w:t xml:space="preserve">80.2 </w:t>
            </w:r>
          </w:p>
        </w:tc>
        <w:tc>
          <w:tcPr>
            <w:tcW w:w="1087" w:type="dxa"/>
            <w:tcBorders>
              <w:top w:val="single" w:color="auto" w:sz="8" w:space="0"/>
            </w:tcBorders>
            <w:shd w:val="clear" w:color="auto" w:fill="auto"/>
            <w:noWrap/>
            <w:vAlign w:val="center"/>
          </w:tcPr>
          <w:p>
            <w:pPr>
              <w:widowControl/>
              <w:spacing w:line="240" w:lineRule="auto"/>
              <w:ind w:firstLine="0" w:firstLineChars="0"/>
              <w:jc w:val="center"/>
              <w:rPr>
                <w:rFonts w:ascii="Times New Roman" w:hAnsi="Times New Roman" w:eastAsia="仿宋_GB2312" w:cs="Times New Roman"/>
                <w:b/>
                <w:bCs/>
                <w:color w:val="9BBB59"/>
                <w:kern w:val="0"/>
                <w:sz w:val="28"/>
                <w:szCs w:val="28"/>
                <w:lang w:val="en-US" w:eastAsia="zh-CN" w:bidi="ar-SA"/>
              </w:rPr>
            </w:pPr>
            <w:r>
              <w:rPr>
                <w:rFonts w:cs="Times New Roman"/>
                <w:b/>
                <w:bCs/>
                <w:color w:val="9BBB59"/>
                <w:sz w:val="28"/>
                <w:szCs w:val="28"/>
              </w:rPr>
              <w:t xml:space="preserve">79.0 </w:t>
            </w:r>
          </w:p>
        </w:tc>
        <w:tc>
          <w:tcPr>
            <w:tcW w:w="1087" w:type="dxa"/>
            <w:tcBorders>
              <w:top w:val="single" w:color="auto" w:sz="8" w:space="0"/>
            </w:tcBorders>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cs="Times New Roman"/>
                <w:color w:val="000000"/>
                <w:sz w:val="28"/>
                <w:szCs w:val="28"/>
              </w:rPr>
              <w:t xml:space="preserve">80.0 </w:t>
            </w:r>
          </w:p>
        </w:tc>
        <w:tc>
          <w:tcPr>
            <w:tcW w:w="1087" w:type="dxa"/>
            <w:tcBorders>
              <w:top w:val="single" w:color="auto" w:sz="8" w:space="0"/>
            </w:tcBorders>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cs="Times New Roman"/>
                <w:color w:val="000000"/>
                <w:sz w:val="28"/>
                <w:szCs w:val="28"/>
              </w:rPr>
              <w:t xml:space="preserve">80.6 </w:t>
            </w:r>
          </w:p>
        </w:tc>
        <w:tc>
          <w:tcPr>
            <w:tcW w:w="1087" w:type="dxa"/>
            <w:tcBorders>
              <w:top w:val="single" w:color="auto" w:sz="8" w:space="0"/>
            </w:tcBorders>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cs="Times New Roman"/>
                <w:color w:val="000000"/>
                <w:sz w:val="28"/>
                <w:szCs w:val="28"/>
              </w:rPr>
              <w:t xml:space="preserve">80.3 </w:t>
            </w:r>
          </w:p>
        </w:tc>
        <w:tc>
          <w:tcPr>
            <w:tcW w:w="1087" w:type="dxa"/>
            <w:tcBorders>
              <w:top w:val="single" w:color="auto" w:sz="8" w:space="0"/>
            </w:tcBorders>
            <w:shd w:val="clear" w:color="auto" w:fill="auto"/>
            <w:noWrap/>
            <w:vAlign w:val="center"/>
          </w:tcPr>
          <w:p>
            <w:pPr>
              <w:widowControl/>
              <w:spacing w:line="240" w:lineRule="auto"/>
              <w:ind w:firstLine="0" w:firstLineChars="0"/>
              <w:jc w:val="center"/>
              <w:rPr>
                <w:rFonts w:eastAsia="仿宋_GB2312" w:cs="Times New Roman"/>
                <w:b/>
                <w:bCs/>
                <w:color w:val="E26B0A"/>
                <w:kern w:val="0"/>
                <w:sz w:val="28"/>
                <w:szCs w:val="28"/>
              </w:rPr>
            </w:pPr>
            <w:r>
              <w:rPr>
                <w:rFonts w:cs="Times New Roman"/>
                <w:b/>
                <w:bCs/>
                <w:color w:val="E26B0A"/>
                <w:sz w:val="28"/>
                <w:szCs w:val="28"/>
              </w:rPr>
              <w:t xml:space="preserve">81.6 </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1701" w:type="dxa"/>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eastAsia="仿宋_GB2312" w:cs="Times New Roman"/>
                <w:color w:val="000000"/>
                <w:kern w:val="0"/>
                <w:sz w:val="28"/>
                <w:szCs w:val="28"/>
              </w:rPr>
              <w:t>充电桩分布</w:t>
            </w:r>
          </w:p>
        </w:tc>
        <w:tc>
          <w:tcPr>
            <w:tcW w:w="1086" w:type="dxa"/>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cs="Times New Roman"/>
                <w:color w:val="000000"/>
                <w:sz w:val="28"/>
                <w:szCs w:val="28"/>
              </w:rPr>
              <w:t xml:space="preserve">79.7 </w:t>
            </w:r>
          </w:p>
        </w:tc>
        <w:tc>
          <w:tcPr>
            <w:tcW w:w="1087" w:type="dxa"/>
            <w:shd w:val="clear" w:color="auto" w:fill="auto"/>
            <w:noWrap/>
            <w:vAlign w:val="center"/>
          </w:tcPr>
          <w:p>
            <w:pPr>
              <w:widowControl/>
              <w:spacing w:line="240" w:lineRule="auto"/>
              <w:ind w:firstLine="0" w:firstLineChars="0"/>
              <w:jc w:val="center"/>
              <w:rPr>
                <w:rFonts w:ascii="Times New Roman" w:hAnsi="Times New Roman" w:eastAsia="仿宋_GB2312" w:cs="Times New Roman"/>
                <w:color w:val="000000"/>
                <w:kern w:val="0"/>
                <w:sz w:val="28"/>
                <w:szCs w:val="28"/>
                <w:lang w:val="en-US" w:eastAsia="zh-CN" w:bidi="ar-SA"/>
              </w:rPr>
            </w:pPr>
            <w:r>
              <w:rPr>
                <w:rFonts w:cs="Times New Roman"/>
                <w:color w:val="000000"/>
                <w:sz w:val="28"/>
                <w:szCs w:val="28"/>
              </w:rPr>
              <w:t xml:space="preserve">79.4 </w:t>
            </w:r>
          </w:p>
        </w:tc>
        <w:tc>
          <w:tcPr>
            <w:tcW w:w="1087" w:type="dxa"/>
            <w:shd w:val="clear" w:color="auto" w:fill="auto"/>
            <w:noWrap/>
            <w:vAlign w:val="center"/>
          </w:tcPr>
          <w:p>
            <w:pPr>
              <w:widowControl/>
              <w:spacing w:line="240" w:lineRule="auto"/>
              <w:ind w:firstLine="0" w:firstLineChars="0"/>
              <w:jc w:val="center"/>
              <w:rPr>
                <w:rFonts w:eastAsia="仿宋_GB2312" w:cs="Times New Roman"/>
                <w:b/>
                <w:bCs/>
                <w:color w:val="9BBB59"/>
                <w:kern w:val="0"/>
                <w:sz w:val="28"/>
                <w:szCs w:val="28"/>
              </w:rPr>
            </w:pPr>
            <w:r>
              <w:rPr>
                <w:rFonts w:cs="Times New Roman"/>
                <w:b/>
                <w:bCs/>
                <w:color w:val="9BBB59"/>
                <w:sz w:val="28"/>
                <w:szCs w:val="28"/>
              </w:rPr>
              <w:t xml:space="preserve">79.2 </w:t>
            </w:r>
          </w:p>
        </w:tc>
        <w:tc>
          <w:tcPr>
            <w:tcW w:w="1087" w:type="dxa"/>
            <w:shd w:val="clear" w:color="auto" w:fill="auto"/>
            <w:noWrap/>
            <w:vAlign w:val="center"/>
          </w:tcPr>
          <w:p>
            <w:pPr>
              <w:widowControl/>
              <w:spacing w:line="240" w:lineRule="auto"/>
              <w:ind w:firstLine="0" w:firstLineChars="0"/>
              <w:jc w:val="center"/>
              <w:rPr>
                <w:rFonts w:eastAsia="仿宋_GB2312" w:cs="Times New Roman"/>
                <w:b/>
                <w:bCs/>
                <w:color w:val="E26B0A"/>
                <w:kern w:val="0"/>
                <w:sz w:val="28"/>
                <w:szCs w:val="28"/>
              </w:rPr>
            </w:pPr>
            <w:r>
              <w:rPr>
                <w:rFonts w:cs="Times New Roman"/>
                <w:b/>
                <w:bCs/>
                <w:color w:val="E26B0A"/>
                <w:sz w:val="28"/>
                <w:szCs w:val="28"/>
              </w:rPr>
              <w:t xml:space="preserve">80.9 </w:t>
            </w:r>
          </w:p>
        </w:tc>
        <w:tc>
          <w:tcPr>
            <w:tcW w:w="1087" w:type="dxa"/>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cs="Times New Roman"/>
                <w:color w:val="000000"/>
                <w:sz w:val="28"/>
                <w:szCs w:val="28"/>
              </w:rPr>
              <w:t xml:space="preserve">76.5 </w:t>
            </w:r>
          </w:p>
        </w:tc>
        <w:tc>
          <w:tcPr>
            <w:tcW w:w="1087" w:type="dxa"/>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cs="Times New Roman"/>
                <w:color w:val="000000"/>
                <w:sz w:val="28"/>
                <w:szCs w:val="28"/>
              </w:rPr>
              <w:t xml:space="preserve">79.5 </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1701" w:type="dxa"/>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eastAsia="仿宋_GB2312" w:cs="Times New Roman"/>
                <w:color w:val="000000"/>
                <w:kern w:val="0"/>
                <w:sz w:val="28"/>
                <w:szCs w:val="28"/>
              </w:rPr>
              <w:t>充电价格</w:t>
            </w:r>
          </w:p>
        </w:tc>
        <w:tc>
          <w:tcPr>
            <w:tcW w:w="1086" w:type="dxa"/>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cs="Times New Roman"/>
                <w:color w:val="000000"/>
                <w:sz w:val="28"/>
                <w:szCs w:val="28"/>
              </w:rPr>
              <w:t xml:space="preserve">78.9 </w:t>
            </w:r>
          </w:p>
        </w:tc>
        <w:tc>
          <w:tcPr>
            <w:tcW w:w="1087" w:type="dxa"/>
            <w:shd w:val="clear" w:color="auto" w:fill="auto"/>
            <w:noWrap/>
            <w:vAlign w:val="center"/>
          </w:tcPr>
          <w:p>
            <w:pPr>
              <w:widowControl/>
              <w:spacing w:line="240" w:lineRule="auto"/>
              <w:ind w:firstLine="0" w:firstLineChars="0"/>
              <w:jc w:val="center"/>
              <w:rPr>
                <w:rFonts w:ascii="Times New Roman" w:hAnsi="Times New Roman" w:eastAsia="仿宋_GB2312" w:cs="Times New Roman"/>
                <w:color w:val="000000"/>
                <w:kern w:val="0"/>
                <w:sz w:val="28"/>
                <w:szCs w:val="28"/>
                <w:lang w:val="en-US" w:eastAsia="zh-CN" w:bidi="ar-SA"/>
              </w:rPr>
            </w:pPr>
            <w:r>
              <w:rPr>
                <w:rFonts w:cs="Times New Roman"/>
                <w:color w:val="000000"/>
                <w:sz w:val="28"/>
                <w:szCs w:val="28"/>
              </w:rPr>
              <w:t xml:space="preserve">76.9 </w:t>
            </w:r>
          </w:p>
        </w:tc>
        <w:tc>
          <w:tcPr>
            <w:tcW w:w="1087" w:type="dxa"/>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cs="Times New Roman"/>
                <w:color w:val="000000"/>
                <w:sz w:val="28"/>
                <w:szCs w:val="28"/>
              </w:rPr>
              <w:t xml:space="preserve">78.3 </w:t>
            </w:r>
          </w:p>
        </w:tc>
        <w:tc>
          <w:tcPr>
            <w:tcW w:w="1087" w:type="dxa"/>
            <w:shd w:val="clear" w:color="auto" w:fill="auto"/>
            <w:noWrap/>
            <w:vAlign w:val="center"/>
          </w:tcPr>
          <w:p>
            <w:pPr>
              <w:widowControl/>
              <w:spacing w:line="240" w:lineRule="auto"/>
              <w:ind w:firstLine="0" w:firstLineChars="0"/>
              <w:jc w:val="center"/>
              <w:rPr>
                <w:rFonts w:eastAsia="仿宋_GB2312" w:cs="Times New Roman"/>
                <w:b/>
                <w:bCs/>
                <w:color w:val="E26B0A"/>
                <w:kern w:val="0"/>
                <w:sz w:val="28"/>
                <w:szCs w:val="28"/>
              </w:rPr>
            </w:pPr>
            <w:r>
              <w:rPr>
                <w:rFonts w:cs="Times New Roman"/>
                <w:b/>
                <w:bCs/>
                <w:color w:val="E26B0A"/>
                <w:sz w:val="28"/>
                <w:szCs w:val="28"/>
              </w:rPr>
              <w:t xml:space="preserve">80.6 </w:t>
            </w:r>
          </w:p>
        </w:tc>
        <w:tc>
          <w:tcPr>
            <w:tcW w:w="1087" w:type="dxa"/>
            <w:shd w:val="clear" w:color="auto" w:fill="auto"/>
            <w:noWrap/>
            <w:vAlign w:val="center"/>
          </w:tcPr>
          <w:p>
            <w:pPr>
              <w:widowControl/>
              <w:spacing w:line="240" w:lineRule="auto"/>
              <w:ind w:firstLine="0" w:firstLineChars="0"/>
              <w:jc w:val="center"/>
              <w:rPr>
                <w:rFonts w:eastAsia="仿宋_GB2312" w:cs="Times New Roman"/>
                <w:b/>
                <w:bCs/>
                <w:color w:val="9BBB59"/>
                <w:kern w:val="0"/>
                <w:sz w:val="28"/>
                <w:szCs w:val="28"/>
              </w:rPr>
            </w:pPr>
            <w:r>
              <w:rPr>
                <w:rFonts w:cs="Times New Roman"/>
                <w:b/>
                <w:bCs/>
                <w:color w:val="9BBB59"/>
                <w:sz w:val="28"/>
                <w:szCs w:val="28"/>
              </w:rPr>
              <w:t xml:space="preserve">74.2 </w:t>
            </w:r>
          </w:p>
        </w:tc>
        <w:tc>
          <w:tcPr>
            <w:tcW w:w="1087" w:type="dxa"/>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cs="Times New Roman"/>
                <w:color w:val="000000"/>
                <w:sz w:val="28"/>
                <w:szCs w:val="28"/>
              </w:rPr>
              <w:t xml:space="preserve">80.3 </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1701" w:type="dxa"/>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eastAsia="仿宋_GB2312" w:cs="Times New Roman"/>
                <w:color w:val="000000"/>
                <w:kern w:val="0"/>
                <w:sz w:val="28"/>
                <w:szCs w:val="28"/>
              </w:rPr>
              <w:t>充电速度</w:t>
            </w:r>
          </w:p>
        </w:tc>
        <w:tc>
          <w:tcPr>
            <w:tcW w:w="1086" w:type="dxa"/>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cs="Times New Roman"/>
                <w:color w:val="000000"/>
                <w:sz w:val="28"/>
                <w:szCs w:val="28"/>
              </w:rPr>
              <w:t xml:space="preserve">79.6 </w:t>
            </w:r>
          </w:p>
        </w:tc>
        <w:tc>
          <w:tcPr>
            <w:tcW w:w="1087" w:type="dxa"/>
            <w:shd w:val="clear" w:color="auto" w:fill="auto"/>
            <w:noWrap/>
            <w:vAlign w:val="center"/>
          </w:tcPr>
          <w:p>
            <w:pPr>
              <w:widowControl/>
              <w:spacing w:line="240" w:lineRule="auto"/>
              <w:ind w:firstLine="0" w:firstLineChars="0"/>
              <w:jc w:val="center"/>
              <w:rPr>
                <w:rFonts w:ascii="Times New Roman" w:hAnsi="Times New Roman" w:eastAsia="仿宋_GB2312" w:cs="Times New Roman"/>
                <w:b/>
                <w:bCs/>
                <w:color w:val="9BBB59"/>
                <w:kern w:val="0"/>
                <w:sz w:val="28"/>
                <w:szCs w:val="28"/>
                <w:lang w:val="en-US" w:eastAsia="zh-CN" w:bidi="ar-SA"/>
              </w:rPr>
            </w:pPr>
            <w:r>
              <w:rPr>
                <w:rFonts w:cs="Times New Roman"/>
                <w:b/>
                <w:bCs/>
                <w:color w:val="9BBB59"/>
                <w:sz w:val="28"/>
                <w:szCs w:val="28"/>
              </w:rPr>
              <w:t xml:space="preserve">78.0 </w:t>
            </w:r>
          </w:p>
        </w:tc>
        <w:tc>
          <w:tcPr>
            <w:tcW w:w="1087" w:type="dxa"/>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cs="Times New Roman"/>
                <w:color w:val="000000"/>
                <w:sz w:val="28"/>
                <w:szCs w:val="28"/>
              </w:rPr>
              <w:t xml:space="preserve">78.9 </w:t>
            </w:r>
          </w:p>
        </w:tc>
        <w:tc>
          <w:tcPr>
            <w:tcW w:w="1087" w:type="dxa"/>
            <w:shd w:val="clear" w:color="auto" w:fill="auto"/>
            <w:noWrap/>
            <w:vAlign w:val="center"/>
          </w:tcPr>
          <w:p>
            <w:pPr>
              <w:widowControl/>
              <w:spacing w:line="240" w:lineRule="auto"/>
              <w:ind w:firstLine="0" w:firstLineChars="0"/>
              <w:jc w:val="center"/>
              <w:rPr>
                <w:rFonts w:eastAsia="仿宋_GB2312" w:cs="Times New Roman"/>
                <w:b/>
                <w:bCs/>
                <w:color w:val="E26B0A"/>
                <w:kern w:val="0"/>
                <w:sz w:val="28"/>
                <w:szCs w:val="28"/>
              </w:rPr>
            </w:pPr>
            <w:r>
              <w:rPr>
                <w:rFonts w:cs="Times New Roman"/>
                <w:b/>
                <w:bCs/>
                <w:color w:val="E26B0A"/>
                <w:sz w:val="28"/>
                <w:szCs w:val="28"/>
              </w:rPr>
              <w:t xml:space="preserve">80.9 </w:t>
            </w:r>
          </w:p>
        </w:tc>
        <w:tc>
          <w:tcPr>
            <w:tcW w:w="1087" w:type="dxa"/>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cs="Times New Roman"/>
                <w:color w:val="000000"/>
                <w:sz w:val="28"/>
                <w:szCs w:val="28"/>
              </w:rPr>
              <w:t xml:space="preserve">80.2 </w:t>
            </w:r>
          </w:p>
        </w:tc>
        <w:tc>
          <w:tcPr>
            <w:tcW w:w="1087" w:type="dxa"/>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cs="Times New Roman"/>
                <w:color w:val="000000"/>
                <w:sz w:val="28"/>
                <w:szCs w:val="28"/>
              </w:rPr>
              <w:t xml:space="preserve">80.5 </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1701" w:type="dxa"/>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eastAsia="仿宋_GB2312" w:cs="Times New Roman"/>
                <w:color w:val="000000"/>
                <w:kern w:val="0"/>
                <w:sz w:val="28"/>
                <w:szCs w:val="28"/>
              </w:rPr>
              <w:t>安全性</w:t>
            </w:r>
          </w:p>
        </w:tc>
        <w:tc>
          <w:tcPr>
            <w:tcW w:w="1086" w:type="dxa"/>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cs="Times New Roman"/>
                <w:color w:val="000000"/>
                <w:sz w:val="28"/>
                <w:szCs w:val="28"/>
              </w:rPr>
              <w:t xml:space="preserve">80.3 </w:t>
            </w:r>
          </w:p>
        </w:tc>
        <w:tc>
          <w:tcPr>
            <w:tcW w:w="1087" w:type="dxa"/>
            <w:shd w:val="clear" w:color="auto" w:fill="auto"/>
            <w:noWrap/>
            <w:vAlign w:val="center"/>
          </w:tcPr>
          <w:p>
            <w:pPr>
              <w:widowControl/>
              <w:spacing w:line="240" w:lineRule="auto"/>
              <w:ind w:firstLine="0" w:firstLineChars="0"/>
              <w:jc w:val="center"/>
              <w:rPr>
                <w:rFonts w:ascii="Times New Roman" w:hAnsi="Times New Roman" w:eastAsia="仿宋_GB2312" w:cs="Times New Roman"/>
                <w:color w:val="000000"/>
                <w:kern w:val="0"/>
                <w:sz w:val="28"/>
                <w:szCs w:val="28"/>
                <w:lang w:val="en-US" w:eastAsia="zh-CN" w:bidi="ar-SA"/>
              </w:rPr>
            </w:pPr>
            <w:r>
              <w:rPr>
                <w:rFonts w:cs="Times New Roman"/>
                <w:color w:val="000000"/>
                <w:sz w:val="28"/>
                <w:szCs w:val="28"/>
              </w:rPr>
              <w:t xml:space="preserve">80.2 </w:t>
            </w:r>
          </w:p>
        </w:tc>
        <w:tc>
          <w:tcPr>
            <w:tcW w:w="1087" w:type="dxa"/>
            <w:shd w:val="clear" w:color="auto" w:fill="auto"/>
            <w:noWrap/>
            <w:vAlign w:val="center"/>
          </w:tcPr>
          <w:p>
            <w:pPr>
              <w:widowControl/>
              <w:spacing w:line="240" w:lineRule="auto"/>
              <w:ind w:firstLine="0" w:firstLineChars="0"/>
              <w:jc w:val="center"/>
              <w:rPr>
                <w:rFonts w:eastAsia="仿宋_GB2312" w:cs="Times New Roman"/>
                <w:b/>
                <w:bCs/>
                <w:color w:val="9BBB59"/>
                <w:kern w:val="0"/>
                <w:sz w:val="28"/>
                <w:szCs w:val="28"/>
              </w:rPr>
            </w:pPr>
            <w:r>
              <w:rPr>
                <w:rFonts w:cs="Times New Roman"/>
                <w:b/>
                <w:bCs/>
                <w:color w:val="9BBB59"/>
                <w:sz w:val="28"/>
                <w:szCs w:val="28"/>
              </w:rPr>
              <w:t xml:space="preserve">79.1 </w:t>
            </w:r>
          </w:p>
        </w:tc>
        <w:tc>
          <w:tcPr>
            <w:tcW w:w="1087" w:type="dxa"/>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cs="Times New Roman"/>
                <w:color w:val="000000"/>
                <w:sz w:val="28"/>
                <w:szCs w:val="28"/>
              </w:rPr>
              <w:t xml:space="preserve">81.4 </w:t>
            </w:r>
          </w:p>
        </w:tc>
        <w:tc>
          <w:tcPr>
            <w:tcW w:w="1087" w:type="dxa"/>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cs="Times New Roman"/>
                <w:color w:val="000000"/>
                <w:sz w:val="28"/>
                <w:szCs w:val="28"/>
              </w:rPr>
              <w:t xml:space="preserve">79.2 </w:t>
            </w:r>
          </w:p>
        </w:tc>
        <w:tc>
          <w:tcPr>
            <w:tcW w:w="1087" w:type="dxa"/>
            <w:shd w:val="clear" w:color="auto" w:fill="auto"/>
            <w:noWrap/>
            <w:vAlign w:val="center"/>
          </w:tcPr>
          <w:p>
            <w:pPr>
              <w:widowControl/>
              <w:spacing w:line="240" w:lineRule="auto"/>
              <w:ind w:firstLine="0" w:firstLineChars="0"/>
              <w:jc w:val="center"/>
              <w:rPr>
                <w:rFonts w:eastAsia="仿宋_GB2312" w:cs="Times New Roman"/>
                <w:b/>
                <w:bCs/>
                <w:color w:val="E26B0A"/>
                <w:kern w:val="0"/>
                <w:sz w:val="28"/>
                <w:szCs w:val="28"/>
              </w:rPr>
            </w:pPr>
            <w:r>
              <w:rPr>
                <w:rFonts w:cs="Times New Roman"/>
                <w:b/>
                <w:bCs/>
                <w:color w:val="E26B0A"/>
                <w:sz w:val="28"/>
                <w:szCs w:val="28"/>
              </w:rPr>
              <w:t xml:space="preserve">83.4 </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1701" w:type="dxa"/>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eastAsia="仿宋_GB2312" w:cs="Times New Roman"/>
                <w:color w:val="000000"/>
                <w:kern w:val="0"/>
                <w:sz w:val="28"/>
                <w:szCs w:val="28"/>
              </w:rPr>
              <w:t>可操作性</w:t>
            </w:r>
          </w:p>
        </w:tc>
        <w:tc>
          <w:tcPr>
            <w:tcW w:w="1086" w:type="dxa"/>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cs="Times New Roman"/>
                <w:color w:val="000000"/>
                <w:sz w:val="28"/>
                <w:szCs w:val="28"/>
              </w:rPr>
              <w:t xml:space="preserve">80.8 </w:t>
            </w:r>
          </w:p>
        </w:tc>
        <w:tc>
          <w:tcPr>
            <w:tcW w:w="1087" w:type="dxa"/>
            <w:shd w:val="clear" w:color="auto" w:fill="auto"/>
            <w:noWrap/>
            <w:vAlign w:val="center"/>
          </w:tcPr>
          <w:p>
            <w:pPr>
              <w:widowControl/>
              <w:spacing w:line="240" w:lineRule="auto"/>
              <w:ind w:firstLine="0" w:firstLineChars="0"/>
              <w:jc w:val="center"/>
              <w:rPr>
                <w:rFonts w:ascii="Times New Roman" w:hAnsi="Times New Roman" w:eastAsia="仿宋_GB2312" w:cs="Times New Roman"/>
                <w:b/>
                <w:bCs/>
                <w:color w:val="9BBB59"/>
                <w:kern w:val="0"/>
                <w:sz w:val="28"/>
                <w:szCs w:val="28"/>
                <w:lang w:val="en-US" w:eastAsia="zh-CN" w:bidi="ar-SA"/>
              </w:rPr>
            </w:pPr>
            <w:r>
              <w:rPr>
                <w:rFonts w:cs="Times New Roman"/>
                <w:b/>
                <w:bCs/>
                <w:color w:val="9BBB59"/>
                <w:sz w:val="28"/>
                <w:szCs w:val="28"/>
              </w:rPr>
              <w:t xml:space="preserve">79.1 </w:t>
            </w:r>
          </w:p>
        </w:tc>
        <w:tc>
          <w:tcPr>
            <w:tcW w:w="1087" w:type="dxa"/>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cs="Times New Roman"/>
                <w:color w:val="000000"/>
                <w:sz w:val="28"/>
                <w:szCs w:val="28"/>
              </w:rPr>
              <w:t xml:space="preserve">80.4 </w:t>
            </w:r>
          </w:p>
        </w:tc>
        <w:tc>
          <w:tcPr>
            <w:tcW w:w="1087" w:type="dxa"/>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cs="Times New Roman"/>
                <w:color w:val="000000"/>
                <w:sz w:val="28"/>
                <w:szCs w:val="28"/>
              </w:rPr>
              <w:t xml:space="preserve">81.7 </w:t>
            </w:r>
          </w:p>
        </w:tc>
        <w:tc>
          <w:tcPr>
            <w:tcW w:w="1087" w:type="dxa"/>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cs="Times New Roman"/>
                <w:color w:val="000000"/>
                <w:sz w:val="28"/>
                <w:szCs w:val="28"/>
              </w:rPr>
              <w:t xml:space="preserve">80.9 </w:t>
            </w:r>
          </w:p>
        </w:tc>
        <w:tc>
          <w:tcPr>
            <w:tcW w:w="1087" w:type="dxa"/>
            <w:shd w:val="clear" w:color="auto" w:fill="auto"/>
            <w:noWrap/>
            <w:vAlign w:val="center"/>
          </w:tcPr>
          <w:p>
            <w:pPr>
              <w:widowControl/>
              <w:spacing w:line="240" w:lineRule="auto"/>
              <w:ind w:firstLine="0" w:firstLineChars="0"/>
              <w:jc w:val="center"/>
              <w:rPr>
                <w:rFonts w:eastAsia="仿宋_GB2312" w:cs="Times New Roman"/>
                <w:b/>
                <w:bCs/>
                <w:color w:val="E26B0A"/>
                <w:kern w:val="0"/>
                <w:sz w:val="28"/>
                <w:szCs w:val="28"/>
              </w:rPr>
            </w:pPr>
            <w:r>
              <w:rPr>
                <w:rFonts w:cs="Times New Roman"/>
                <w:b/>
                <w:bCs/>
                <w:color w:val="E26B0A"/>
                <w:sz w:val="28"/>
                <w:szCs w:val="28"/>
              </w:rPr>
              <w:t xml:space="preserve">81.7 </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1701" w:type="dxa"/>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eastAsia="仿宋_GB2312" w:cs="Times New Roman"/>
                <w:color w:val="000000"/>
                <w:kern w:val="0"/>
                <w:sz w:val="28"/>
                <w:szCs w:val="28"/>
              </w:rPr>
              <w:t>售后服务</w:t>
            </w:r>
          </w:p>
        </w:tc>
        <w:tc>
          <w:tcPr>
            <w:tcW w:w="1086" w:type="dxa"/>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cs="Times New Roman"/>
                <w:color w:val="000000"/>
                <w:sz w:val="28"/>
                <w:szCs w:val="28"/>
              </w:rPr>
              <w:t xml:space="preserve">79.2 </w:t>
            </w:r>
          </w:p>
        </w:tc>
        <w:tc>
          <w:tcPr>
            <w:tcW w:w="1087" w:type="dxa"/>
            <w:shd w:val="clear" w:color="auto" w:fill="auto"/>
            <w:noWrap/>
            <w:vAlign w:val="center"/>
          </w:tcPr>
          <w:p>
            <w:pPr>
              <w:widowControl/>
              <w:spacing w:line="240" w:lineRule="auto"/>
              <w:ind w:firstLine="0" w:firstLineChars="0"/>
              <w:jc w:val="center"/>
              <w:rPr>
                <w:rFonts w:ascii="Times New Roman" w:hAnsi="Times New Roman" w:eastAsia="仿宋_GB2312" w:cs="Times New Roman"/>
                <w:color w:val="000000"/>
                <w:kern w:val="0"/>
                <w:sz w:val="28"/>
                <w:szCs w:val="28"/>
                <w:lang w:val="en-US" w:eastAsia="zh-CN" w:bidi="ar-SA"/>
              </w:rPr>
            </w:pPr>
            <w:r>
              <w:rPr>
                <w:rFonts w:cs="Times New Roman"/>
                <w:color w:val="000000"/>
                <w:sz w:val="28"/>
                <w:szCs w:val="28"/>
              </w:rPr>
              <w:t xml:space="preserve">78.1 </w:t>
            </w:r>
          </w:p>
        </w:tc>
        <w:tc>
          <w:tcPr>
            <w:tcW w:w="1087" w:type="dxa"/>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cs="Times New Roman"/>
                <w:color w:val="000000"/>
                <w:sz w:val="28"/>
                <w:szCs w:val="28"/>
              </w:rPr>
              <w:t xml:space="preserve">78.8 </w:t>
            </w:r>
          </w:p>
        </w:tc>
        <w:tc>
          <w:tcPr>
            <w:tcW w:w="1087" w:type="dxa"/>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cs="Times New Roman"/>
                <w:color w:val="000000"/>
                <w:sz w:val="28"/>
                <w:szCs w:val="28"/>
              </w:rPr>
              <w:t xml:space="preserve">80.2 </w:t>
            </w:r>
          </w:p>
        </w:tc>
        <w:tc>
          <w:tcPr>
            <w:tcW w:w="1087" w:type="dxa"/>
            <w:shd w:val="clear" w:color="auto" w:fill="auto"/>
            <w:noWrap/>
            <w:vAlign w:val="center"/>
          </w:tcPr>
          <w:p>
            <w:pPr>
              <w:widowControl/>
              <w:spacing w:line="240" w:lineRule="auto"/>
              <w:ind w:firstLine="0" w:firstLineChars="0"/>
              <w:jc w:val="center"/>
              <w:rPr>
                <w:rFonts w:eastAsia="仿宋_GB2312" w:cs="Times New Roman"/>
                <w:b/>
                <w:bCs/>
                <w:color w:val="9BBB59"/>
                <w:kern w:val="0"/>
                <w:sz w:val="28"/>
                <w:szCs w:val="28"/>
              </w:rPr>
            </w:pPr>
            <w:r>
              <w:rPr>
                <w:rFonts w:cs="Times New Roman"/>
                <w:b/>
                <w:bCs/>
                <w:color w:val="9BBB59"/>
                <w:sz w:val="28"/>
                <w:szCs w:val="28"/>
              </w:rPr>
              <w:t xml:space="preserve">77.1 </w:t>
            </w:r>
          </w:p>
        </w:tc>
        <w:tc>
          <w:tcPr>
            <w:tcW w:w="1087" w:type="dxa"/>
            <w:shd w:val="clear" w:color="auto" w:fill="auto"/>
            <w:noWrap/>
            <w:vAlign w:val="center"/>
          </w:tcPr>
          <w:p>
            <w:pPr>
              <w:widowControl/>
              <w:spacing w:line="240" w:lineRule="auto"/>
              <w:ind w:firstLine="0" w:firstLineChars="0"/>
              <w:jc w:val="center"/>
              <w:rPr>
                <w:rFonts w:eastAsia="仿宋_GB2312" w:cs="Times New Roman"/>
                <w:b/>
                <w:bCs/>
                <w:color w:val="E26B0A"/>
                <w:kern w:val="0"/>
                <w:sz w:val="28"/>
                <w:szCs w:val="28"/>
              </w:rPr>
            </w:pPr>
            <w:r>
              <w:rPr>
                <w:rFonts w:cs="Times New Roman"/>
                <w:b/>
                <w:bCs/>
                <w:color w:val="E26B0A"/>
                <w:sz w:val="28"/>
                <w:szCs w:val="28"/>
              </w:rPr>
              <w:t xml:space="preserve">80.3 </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1701" w:type="dxa"/>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eastAsia="仿宋_GB2312" w:cs="Times New Roman"/>
                <w:color w:val="000000"/>
                <w:kern w:val="0"/>
                <w:sz w:val="28"/>
                <w:szCs w:val="28"/>
              </w:rPr>
              <w:t>退款便利性</w:t>
            </w:r>
          </w:p>
        </w:tc>
        <w:tc>
          <w:tcPr>
            <w:tcW w:w="1086" w:type="dxa"/>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cs="Times New Roman"/>
                <w:color w:val="000000"/>
                <w:sz w:val="28"/>
                <w:szCs w:val="28"/>
              </w:rPr>
              <w:t xml:space="preserve">80.0 </w:t>
            </w:r>
          </w:p>
        </w:tc>
        <w:tc>
          <w:tcPr>
            <w:tcW w:w="1087" w:type="dxa"/>
            <w:shd w:val="clear" w:color="auto" w:fill="auto"/>
            <w:noWrap/>
            <w:vAlign w:val="center"/>
          </w:tcPr>
          <w:p>
            <w:pPr>
              <w:widowControl/>
              <w:spacing w:line="240" w:lineRule="auto"/>
              <w:ind w:firstLine="0" w:firstLineChars="0"/>
              <w:jc w:val="center"/>
              <w:rPr>
                <w:rFonts w:ascii="Times New Roman" w:hAnsi="Times New Roman" w:eastAsia="仿宋_GB2312" w:cs="Times New Roman"/>
                <w:b/>
                <w:bCs/>
                <w:color w:val="9BBB59"/>
                <w:kern w:val="0"/>
                <w:sz w:val="28"/>
                <w:szCs w:val="28"/>
                <w:lang w:val="en-US" w:eastAsia="zh-CN" w:bidi="ar-SA"/>
              </w:rPr>
            </w:pPr>
            <w:r>
              <w:rPr>
                <w:rFonts w:cs="Times New Roman"/>
                <w:b/>
                <w:bCs/>
                <w:color w:val="9BBB59"/>
                <w:sz w:val="28"/>
                <w:szCs w:val="28"/>
              </w:rPr>
              <w:t xml:space="preserve">79.1 </w:t>
            </w:r>
          </w:p>
        </w:tc>
        <w:tc>
          <w:tcPr>
            <w:tcW w:w="1087" w:type="dxa"/>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cs="Times New Roman"/>
                <w:color w:val="000000"/>
                <w:sz w:val="28"/>
                <w:szCs w:val="28"/>
              </w:rPr>
              <w:t xml:space="preserve">79.7 </w:t>
            </w:r>
          </w:p>
        </w:tc>
        <w:tc>
          <w:tcPr>
            <w:tcW w:w="1087" w:type="dxa"/>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cs="Times New Roman"/>
                <w:color w:val="000000"/>
                <w:sz w:val="28"/>
                <w:szCs w:val="28"/>
              </w:rPr>
              <w:t xml:space="preserve">80.4 </w:t>
            </w:r>
          </w:p>
        </w:tc>
        <w:tc>
          <w:tcPr>
            <w:tcW w:w="1087" w:type="dxa"/>
            <w:shd w:val="clear" w:color="auto" w:fill="auto"/>
            <w:noWrap/>
            <w:vAlign w:val="center"/>
          </w:tcPr>
          <w:p>
            <w:pPr>
              <w:widowControl/>
              <w:spacing w:line="240" w:lineRule="auto"/>
              <w:ind w:firstLine="0" w:firstLineChars="0"/>
              <w:jc w:val="center"/>
              <w:rPr>
                <w:rFonts w:eastAsia="仿宋_GB2312" w:cs="Times New Roman"/>
                <w:color w:val="000000"/>
                <w:kern w:val="0"/>
                <w:sz w:val="28"/>
                <w:szCs w:val="28"/>
              </w:rPr>
            </w:pPr>
            <w:r>
              <w:rPr>
                <w:rFonts w:cs="Times New Roman"/>
                <w:color w:val="000000"/>
                <w:sz w:val="28"/>
                <w:szCs w:val="28"/>
              </w:rPr>
              <w:t xml:space="preserve">80.3 </w:t>
            </w:r>
          </w:p>
        </w:tc>
        <w:tc>
          <w:tcPr>
            <w:tcW w:w="1087" w:type="dxa"/>
            <w:shd w:val="clear" w:color="auto" w:fill="auto"/>
            <w:noWrap/>
            <w:vAlign w:val="center"/>
          </w:tcPr>
          <w:p>
            <w:pPr>
              <w:widowControl/>
              <w:spacing w:line="240" w:lineRule="auto"/>
              <w:ind w:firstLine="0" w:firstLineChars="0"/>
              <w:jc w:val="center"/>
              <w:rPr>
                <w:rFonts w:eastAsia="仿宋_GB2312" w:cs="Times New Roman"/>
                <w:b/>
                <w:bCs/>
                <w:color w:val="E26B0A"/>
                <w:kern w:val="0"/>
                <w:sz w:val="28"/>
                <w:szCs w:val="28"/>
              </w:rPr>
            </w:pPr>
            <w:r>
              <w:rPr>
                <w:rFonts w:cs="Times New Roman"/>
                <w:b/>
                <w:bCs/>
                <w:color w:val="E26B0A"/>
                <w:sz w:val="28"/>
                <w:szCs w:val="28"/>
              </w:rPr>
              <w:t xml:space="preserve">81.5 </w:t>
            </w:r>
          </w:p>
        </w:tc>
      </w:tr>
    </w:tbl>
    <w:p>
      <w:pPr>
        <w:widowControl/>
        <w:spacing w:line="240" w:lineRule="auto"/>
        <w:ind w:firstLine="0" w:firstLineChars="0"/>
        <w:jc w:val="left"/>
        <w:rPr>
          <w:rFonts w:eastAsia="楷体_GB2312" w:cs="Times New Roman"/>
          <w:b/>
          <w:bCs/>
          <w:szCs w:val="32"/>
        </w:rPr>
      </w:pPr>
      <w:r>
        <w:rPr>
          <w:rFonts w:eastAsia="楷体_GB2312" w:cs="Times New Roman"/>
        </w:rPr>
        <w:br w:type="page"/>
      </w:r>
    </w:p>
    <w:p>
      <w:pPr>
        <w:pStyle w:val="3"/>
        <w:spacing w:line="560" w:lineRule="exact"/>
        <w:ind w:firstLine="640"/>
        <w:rPr>
          <w:rFonts w:eastAsia="楷体_GB2312" w:cs="Times New Roman"/>
        </w:rPr>
      </w:pPr>
      <w:bookmarkStart w:id="22" w:name="_Toc157760692"/>
      <w:r>
        <w:rPr>
          <w:rFonts w:eastAsia="楷体_GB2312" w:cs="Times New Roman"/>
        </w:rPr>
        <w:t>四、充电服务的不足及优化措施</w:t>
      </w:r>
      <w:r>
        <w:rPr>
          <w:rFonts w:eastAsia="楷体_GB2312" w:cs="Times New Roman"/>
          <w:strike/>
        </w:rPr>
        <w:t>情况</w:t>
      </w:r>
      <w:bookmarkEnd w:id="22"/>
    </w:p>
    <w:p>
      <w:pPr>
        <w:pStyle w:val="4"/>
        <w:spacing w:before="0" w:after="0" w:line="560" w:lineRule="exact"/>
        <w:ind w:firstLine="643"/>
        <w:rPr>
          <w:rFonts w:eastAsia="仿宋_GB2312" w:cs="Times New Roman"/>
        </w:rPr>
      </w:pPr>
      <w:bookmarkStart w:id="23" w:name="_Toc157760693"/>
      <w:r>
        <w:rPr>
          <w:rFonts w:eastAsia="仿宋_GB2312" w:cs="Times New Roman"/>
        </w:rPr>
        <w:t>（一）充电服务内容优化方面</w:t>
      </w:r>
      <w:bookmarkEnd w:id="23"/>
    </w:p>
    <w:p>
      <w:pPr>
        <w:ind w:firstLine="640"/>
        <w:rPr>
          <w:rFonts w:eastAsia="仿宋_GB2312" w:cs="Times New Roman"/>
        </w:rPr>
      </w:pPr>
      <w:r>
        <w:rPr>
          <w:rFonts w:eastAsia="仿宋_GB2312" w:cs="Times New Roman"/>
        </w:rPr>
        <w:t>问卷调查结果显示，目前佛山市公共充电设施还需要增加的服务中，地图导航、充电状态和费用查询排名前三，分别占比40.3%、36.8%和36.4%。用户希望通过地图导航更方便地找到充电桩，能够及时查询充电状态以及费用信息。</w:t>
      </w:r>
    </w:p>
    <w:p>
      <w:pPr>
        <w:pStyle w:val="27"/>
        <w:rPr>
          <w:rFonts w:cs="Times New Roman"/>
        </w:rPr>
      </w:pPr>
      <w:r>
        <w:rPr>
          <w:rFonts w:cs="Times New Roman"/>
        </w:rPr>
        <w:drawing>
          <wp:inline distT="0" distB="0" distL="114300" distR="114300">
            <wp:extent cx="5080000" cy="4241800"/>
            <wp:effectExtent l="0" t="0" r="0" b="0"/>
            <wp:docPr id="784055185" name="图表 784055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7"/>
        <w:ind w:firstLine="360"/>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t>充电服务内容优化方面（%）</w:t>
      </w:r>
    </w:p>
    <w:p>
      <w:pPr>
        <w:pStyle w:val="4"/>
        <w:spacing w:before="0" w:after="0" w:line="560" w:lineRule="exact"/>
        <w:ind w:firstLine="643"/>
        <w:rPr>
          <w:rFonts w:eastAsia="仿宋_GB2312" w:cs="Times New Roman"/>
        </w:rPr>
      </w:pPr>
      <w:bookmarkStart w:id="24" w:name="_Toc157760694"/>
      <w:r>
        <w:rPr>
          <w:rFonts w:eastAsia="仿宋_GB2312" w:cs="Times New Roman"/>
        </w:rPr>
        <w:t>（二）存在的问题</w:t>
      </w:r>
      <w:bookmarkEnd w:id="24"/>
    </w:p>
    <w:p>
      <w:pPr>
        <w:ind w:firstLine="640"/>
        <w:rPr>
          <w:rFonts w:eastAsia="仿宋_GB2312" w:cs="Times New Roman"/>
        </w:rPr>
      </w:pPr>
      <w:r>
        <w:rPr>
          <w:rFonts w:eastAsia="仿宋_GB2312" w:cs="Times New Roman"/>
        </w:rPr>
        <w:t>问卷调查结果显示，公共充电设施建设方面主要存在的问题中，充电站无人值守，电桩维护不及时最为突出，占比33.6%；充电车位被非电动车或已充满电的车辆占用占比31.5%；充电桩损坏、充电故障等占比27.7%；充电桩少，不能满足充电需求占比25.8%。</w:t>
      </w:r>
    </w:p>
    <w:p>
      <w:pPr>
        <w:pStyle w:val="27"/>
        <w:rPr>
          <w:rFonts w:cs="Times New Roman"/>
        </w:rPr>
      </w:pPr>
      <w:r>
        <w:rPr>
          <w:rFonts w:cs="Times New Roman"/>
        </w:rPr>
        <w:drawing>
          <wp:inline distT="0" distB="0" distL="114300" distR="114300">
            <wp:extent cx="5303520" cy="5232400"/>
            <wp:effectExtent l="0" t="0" r="0" b="0"/>
            <wp:docPr id="30615693" name="图表 306156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7"/>
        <w:ind w:firstLine="360"/>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27</w:t>
      </w:r>
      <w:r>
        <w:rPr>
          <w:rFonts w:ascii="Times New Roman" w:hAnsi="Times New Roman" w:cs="Times New Roman"/>
        </w:rPr>
        <w:fldChar w:fldCharType="end"/>
      </w:r>
      <w:r>
        <w:rPr>
          <w:rFonts w:ascii="Times New Roman" w:hAnsi="Times New Roman" w:cs="Times New Roman"/>
        </w:rPr>
        <w:t>公共充电设施建设方面主要存在的问题（%）</w:t>
      </w:r>
    </w:p>
    <w:p>
      <w:pPr>
        <w:pStyle w:val="4"/>
        <w:spacing w:before="0" w:after="0" w:line="560" w:lineRule="exact"/>
        <w:ind w:firstLine="643"/>
        <w:rPr>
          <w:rFonts w:eastAsia="仿宋_GB2312" w:cs="Times New Roman"/>
        </w:rPr>
      </w:pPr>
      <w:bookmarkStart w:id="25" w:name="_Toc157760695"/>
      <w:r>
        <w:rPr>
          <w:rFonts w:eastAsia="仿宋_GB2312" w:cs="Times New Roman"/>
        </w:rPr>
        <w:t>（三）充电服务提升方向</w:t>
      </w:r>
      <w:bookmarkEnd w:id="25"/>
    </w:p>
    <w:p>
      <w:pPr>
        <w:ind w:firstLine="640"/>
        <w:rPr>
          <w:rFonts w:eastAsia="仿宋_GB2312" w:cs="Times New Roman"/>
        </w:rPr>
      </w:pPr>
      <w:r>
        <w:rPr>
          <w:rFonts w:eastAsia="仿宋_GB2312" w:cs="Times New Roman"/>
        </w:rPr>
        <w:t>问卷调查结果显示，电动汽车充电服务提升的方向主要集中在降低充电费用、提高充电速度和充电减免停车费等方面。具体来看，降低充电费用是用户最为关注的问题，占比达到32.4%；其次，用户还希望提高充电速度，占比为31.1%；另外，充电减免停车费也是用户关注的焦点之一，占比为29.6%。充电服务提供商应该结合用户需求，加强这些方面的服务，以提升用户的满意度和使用体验。</w:t>
      </w:r>
    </w:p>
    <w:p>
      <w:pPr>
        <w:pStyle w:val="27"/>
        <w:rPr>
          <w:rFonts w:cs="Times New Roman"/>
          <w:b/>
          <w:bCs/>
        </w:rPr>
      </w:pPr>
      <w:r>
        <w:rPr>
          <w:rFonts w:cs="Times New Roman"/>
        </w:rPr>
        <w:drawing>
          <wp:inline distT="0" distB="0" distL="114300" distR="114300">
            <wp:extent cx="5080000" cy="4300855"/>
            <wp:effectExtent l="0" t="0" r="0" b="0"/>
            <wp:docPr id="1403669713" name="图表 14036697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7"/>
        <w:ind w:firstLine="360"/>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t>电动汽车充电服务提升方向（%）</w:t>
      </w:r>
    </w:p>
    <w:p>
      <w:pPr>
        <w:widowControl/>
        <w:spacing w:line="240" w:lineRule="auto"/>
        <w:ind w:firstLine="0" w:firstLineChars="0"/>
        <w:jc w:val="left"/>
        <w:rPr>
          <w:rFonts w:eastAsia="黑体" w:cs="Times New Roman"/>
          <w:b/>
          <w:bCs/>
          <w:kern w:val="44"/>
          <w:szCs w:val="44"/>
        </w:rPr>
      </w:pPr>
      <w:r>
        <w:rPr>
          <w:rFonts w:cs="Times New Roman"/>
        </w:rPr>
        <w:br w:type="page"/>
      </w:r>
    </w:p>
    <w:p>
      <w:pPr>
        <w:pStyle w:val="2"/>
        <w:spacing w:after="156"/>
        <w:ind w:firstLine="643"/>
      </w:pPr>
      <w:bookmarkStart w:id="26" w:name="_Toc157760696"/>
      <w:r>
        <w:t>第三部分：实地体验调查</w:t>
      </w:r>
      <w:bookmarkEnd w:id="26"/>
    </w:p>
    <w:p>
      <w:pPr>
        <w:pStyle w:val="3"/>
        <w:spacing w:line="560" w:lineRule="exact"/>
        <w:ind w:firstLine="640"/>
        <w:rPr>
          <w:rFonts w:eastAsia="楷体_GB2312" w:cs="Times New Roman"/>
        </w:rPr>
      </w:pPr>
      <w:bookmarkStart w:id="27" w:name="_Toc157760697"/>
      <w:r>
        <w:rPr>
          <w:rFonts w:eastAsia="楷体_GB2312" w:cs="Times New Roman"/>
        </w:rPr>
        <w:t>一、实地体验调查数据分析</w:t>
      </w:r>
      <w:bookmarkEnd w:id="27"/>
    </w:p>
    <w:p>
      <w:pPr>
        <w:ind w:firstLine="640"/>
      </w:pPr>
      <w:r>
        <w:rPr>
          <w:rFonts w:hint="eastAsia"/>
        </w:rPr>
        <w:t>本次实地体验调查共回收不同充电品牌的充电站样本量1</w:t>
      </w:r>
      <w:r>
        <w:t>00</w:t>
      </w:r>
      <w:r>
        <w:rPr>
          <w:rFonts w:hint="eastAsia"/>
        </w:rPr>
        <w:t>个。</w:t>
      </w:r>
    </w:p>
    <w:p>
      <w:pPr>
        <w:pStyle w:val="7"/>
        <w:ind w:firstLine="482"/>
        <w:rPr>
          <w:rFonts w:ascii="Times New Roman" w:hAnsi="Times New Roman" w:cs="Times New Roman"/>
        </w:rPr>
      </w:pPr>
      <w:r>
        <w:rPr>
          <w:rFonts w:ascii="Times New Roman" w:hAnsi="Times New Roman" w:cs="Times New Roman"/>
        </w:rPr>
        <w:t xml:space="preserve">表 </w:t>
      </w:r>
      <w:r>
        <w:rPr>
          <w:rFonts w:ascii="Times New Roman" w:hAnsi="Times New Roman" w:cs="Times New Roman"/>
        </w:rPr>
        <w:fldChar w:fldCharType="begin"/>
      </w:r>
      <w:r>
        <w:rPr>
          <w:rFonts w:ascii="Times New Roman" w:hAnsi="Times New Roman" w:cs="Times New Roman"/>
        </w:rPr>
        <w:instrText xml:space="preserve"> SEQ 表 \* ARABIC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t> </w:t>
      </w:r>
      <w:r>
        <w:rPr>
          <w:rFonts w:hint="eastAsia" w:ascii="Times New Roman" w:hAnsi="Times New Roman" w:cs="Times New Roman"/>
        </w:rPr>
        <w:t>充电品牌样本分布</w:t>
      </w:r>
    </w:p>
    <w:tbl>
      <w:tblPr>
        <w:tblStyle w:val="1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500" w:type="pct"/>
            <w:shd w:val="clear" w:color="auto" w:fill="E36C09" w:themeFill="accent6" w:themeFillShade="BF"/>
          </w:tcPr>
          <w:p>
            <w:pPr>
              <w:pStyle w:val="7"/>
              <w:spacing w:line="240" w:lineRule="auto"/>
              <w:rPr>
                <w:b/>
                <w:bCs/>
                <w:color w:val="FFFFFF" w:themeColor="background1"/>
              </w:rPr>
            </w:pPr>
            <w:r>
              <w:rPr>
                <w:rFonts w:hint="eastAsia"/>
                <w:b/>
                <w:bCs/>
                <w:color w:val="FFFFFF" w:themeColor="background1"/>
              </w:rPr>
              <w:t>充电品牌</w:t>
            </w:r>
          </w:p>
        </w:tc>
        <w:tc>
          <w:tcPr>
            <w:tcW w:w="2500" w:type="pct"/>
            <w:shd w:val="clear" w:color="auto" w:fill="E36C09" w:themeFill="accent6" w:themeFillShade="BF"/>
          </w:tcPr>
          <w:p>
            <w:pPr>
              <w:pStyle w:val="7"/>
              <w:spacing w:line="240" w:lineRule="auto"/>
              <w:rPr>
                <w:b/>
                <w:bCs/>
                <w:color w:val="FFFFFF" w:themeColor="background1"/>
              </w:rPr>
            </w:pPr>
            <w:r>
              <w:rPr>
                <w:rFonts w:hint="eastAsia"/>
                <w:b/>
                <w:bCs/>
                <w:color w:val="FFFFFF" w:themeColor="background1"/>
              </w:rPr>
              <w:t>样本量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500" w:type="pct"/>
            <w:shd w:val="clear" w:color="auto" w:fill="auto"/>
          </w:tcPr>
          <w:p>
            <w:pPr>
              <w:pStyle w:val="7"/>
              <w:spacing w:line="240" w:lineRule="auto"/>
            </w:pPr>
            <w:r>
              <w:t>云快充</w:t>
            </w:r>
          </w:p>
        </w:tc>
        <w:tc>
          <w:tcPr>
            <w:tcW w:w="2500" w:type="pct"/>
          </w:tcPr>
          <w:p>
            <w:pPr>
              <w:pStyle w:val="7"/>
              <w:spacing w:line="240" w:lineRule="auto"/>
            </w:pPr>
            <w:r>
              <w:rPr>
                <w:rFonts w:hint="eastAsia"/>
              </w:rPr>
              <w:t>1</w:t>
            </w:r>
            <w: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500" w:type="pct"/>
            <w:shd w:val="clear" w:color="auto" w:fill="auto"/>
          </w:tcPr>
          <w:p>
            <w:pPr>
              <w:pStyle w:val="7"/>
              <w:spacing w:line="240" w:lineRule="auto"/>
            </w:pPr>
            <w:r>
              <w:t>特来电</w:t>
            </w:r>
            <w:r>
              <w:rPr>
                <w:rFonts w:ascii="Calibri" w:hAnsi="Calibri" w:cs="Calibri"/>
              </w:rPr>
              <w:t>TELD</w:t>
            </w:r>
          </w:p>
        </w:tc>
        <w:tc>
          <w:tcPr>
            <w:tcW w:w="2500" w:type="pct"/>
          </w:tcPr>
          <w:p>
            <w:pPr>
              <w:pStyle w:val="7"/>
              <w:spacing w:line="240" w:lineRule="auto"/>
            </w:pPr>
            <w:r>
              <w:rPr>
                <w:rFonts w:hint="eastAsia"/>
              </w:rPr>
              <w:t>1</w:t>
            </w:r>
            <w: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500" w:type="pct"/>
            <w:shd w:val="clear" w:color="auto" w:fill="auto"/>
          </w:tcPr>
          <w:p>
            <w:pPr>
              <w:pStyle w:val="7"/>
              <w:spacing w:line="240" w:lineRule="auto"/>
            </w:pPr>
            <w:r>
              <w:t>小桔充电</w:t>
            </w:r>
          </w:p>
        </w:tc>
        <w:tc>
          <w:tcPr>
            <w:tcW w:w="2500" w:type="pct"/>
          </w:tcPr>
          <w:p>
            <w:pPr>
              <w:pStyle w:val="7"/>
              <w:spacing w:line="240" w:lineRule="auto"/>
            </w:pPr>
            <w:r>
              <w:rPr>
                <w:rFonts w:hint="eastAsia"/>
              </w:rPr>
              <w:t>1</w:t>
            </w:r>
            <w: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500" w:type="pct"/>
            <w:shd w:val="clear" w:color="auto" w:fill="auto"/>
          </w:tcPr>
          <w:p>
            <w:pPr>
              <w:pStyle w:val="7"/>
              <w:spacing w:line="240" w:lineRule="auto"/>
            </w:pPr>
            <w:r>
              <w:t>星星充电</w:t>
            </w:r>
          </w:p>
        </w:tc>
        <w:tc>
          <w:tcPr>
            <w:tcW w:w="2500" w:type="pct"/>
          </w:tcPr>
          <w:p>
            <w:pPr>
              <w:pStyle w:val="7"/>
              <w:spacing w:line="240" w:lineRule="auto"/>
            </w:pPr>
            <w:r>
              <w:rPr>
                <w:rFonts w:hint="eastAsia"/>
              </w:rPr>
              <w:t>1</w:t>
            </w:r>
            <w: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500" w:type="pct"/>
            <w:shd w:val="clear" w:color="auto" w:fill="auto"/>
          </w:tcPr>
          <w:p>
            <w:pPr>
              <w:pStyle w:val="7"/>
              <w:spacing w:line="240" w:lineRule="auto"/>
            </w:pPr>
            <w:r>
              <w:t>开迈斯充电</w:t>
            </w:r>
          </w:p>
        </w:tc>
        <w:tc>
          <w:tcPr>
            <w:tcW w:w="2500" w:type="pct"/>
          </w:tcPr>
          <w:p>
            <w:pPr>
              <w:pStyle w:val="7"/>
              <w:spacing w:line="240" w:lineRule="auto"/>
            </w:pPr>
            <w:r>
              <w:rPr>
                <w:rFonts w:hint="eastAsia"/>
              </w:rPr>
              <w:t>1</w:t>
            </w:r>
            <w: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500" w:type="pct"/>
            <w:shd w:val="clear" w:color="auto" w:fill="auto"/>
          </w:tcPr>
          <w:p>
            <w:pPr>
              <w:pStyle w:val="7"/>
              <w:spacing w:line="240" w:lineRule="auto"/>
            </w:pPr>
            <w:r>
              <w:t>南方电网</w:t>
            </w:r>
          </w:p>
        </w:tc>
        <w:tc>
          <w:tcPr>
            <w:tcW w:w="2500" w:type="pct"/>
          </w:tcPr>
          <w:p>
            <w:pPr>
              <w:pStyle w:val="7"/>
              <w:spacing w:line="240" w:lineRule="auto"/>
            </w:pPr>
            <w:r>
              <w:rPr>
                <w:rFonts w:hint="eastAsia"/>
              </w:rPr>
              <w:t>1</w:t>
            </w:r>
            <w: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500" w:type="pct"/>
            <w:shd w:val="clear" w:color="auto" w:fill="auto"/>
          </w:tcPr>
          <w:p>
            <w:pPr>
              <w:pStyle w:val="7"/>
              <w:spacing w:line="240" w:lineRule="auto"/>
            </w:pPr>
            <w:r>
              <w:t>特斯拉超级充电站</w:t>
            </w:r>
          </w:p>
        </w:tc>
        <w:tc>
          <w:tcPr>
            <w:tcW w:w="2500" w:type="pct"/>
          </w:tcPr>
          <w:p>
            <w:pPr>
              <w:pStyle w:val="7"/>
              <w:spacing w:line="240" w:lineRule="auto"/>
            </w:pPr>
            <w:r>
              <w:rPr>
                <w:rFonts w:hint="eastAsia"/>
              </w:rPr>
              <w:t>1</w:t>
            </w:r>
            <w:r>
              <w:t>0</w:t>
            </w:r>
          </w:p>
        </w:tc>
      </w:tr>
    </w:tbl>
    <w:p>
      <w:pPr>
        <w:pStyle w:val="4"/>
        <w:ind w:firstLine="643"/>
      </w:pPr>
      <w:bookmarkStart w:id="28" w:name="_Toc157760698"/>
      <w:r>
        <w:rPr>
          <w:rFonts w:hint="eastAsia"/>
        </w:rPr>
        <w:t>（一）整体体验</w:t>
      </w:r>
      <w:bookmarkEnd w:id="28"/>
    </w:p>
    <w:p>
      <w:pPr>
        <w:ind w:firstLine="640"/>
      </w:pPr>
      <w:r>
        <w:rPr>
          <w:rFonts w:hint="eastAsia"/>
        </w:rPr>
        <w:t>本次体验调查整体得分8</w:t>
      </w:r>
      <w:r>
        <w:t>.01</w:t>
      </w:r>
      <w:r>
        <w:rPr>
          <w:rFonts w:hint="eastAsia"/>
        </w:rPr>
        <w:t>分。到达体验得分8</w:t>
      </w:r>
      <w:r>
        <w:t>.05</w:t>
      </w:r>
      <w:r>
        <w:rPr>
          <w:rFonts w:hint="eastAsia"/>
        </w:rPr>
        <w:t>分，充电体验得分7</w:t>
      </w:r>
      <w:r>
        <w:t>.40</w:t>
      </w:r>
      <w:r>
        <w:rPr>
          <w:rFonts w:hint="eastAsia"/>
        </w:rPr>
        <w:t>分，付款体验得分8</w:t>
      </w:r>
      <w:r>
        <w:t>.50</w:t>
      </w:r>
      <w:r>
        <w:rPr>
          <w:rFonts w:hint="eastAsia"/>
        </w:rPr>
        <w:t>分，离开体验得分7</w:t>
      </w:r>
      <w:r>
        <w:t>.85</w:t>
      </w:r>
      <w:r>
        <w:rPr>
          <w:rFonts w:hint="eastAsia"/>
        </w:rPr>
        <w:t>分。</w:t>
      </w:r>
    </w:p>
    <w:p>
      <w:pPr>
        <w:pStyle w:val="27"/>
      </w:pPr>
      <w:r>
        <w:drawing>
          <wp:inline distT="0" distB="0" distL="114300" distR="114300">
            <wp:extent cx="5105400" cy="2486660"/>
            <wp:effectExtent l="0" t="0" r="0" b="0"/>
            <wp:docPr id="82669058" name="图表 826690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7"/>
        <w:ind w:firstLine="482"/>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29</w:t>
      </w:r>
      <w:r>
        <w:rPr>
          <w:rFonts w:ascii="Times New Roman" w:hAnsi="Times New Roman" w:cs="Times New Roman"/>
        </w:rPr>
        <w:fldChar w:fldCharType="end"/>
      </w:r>
      <w:r>
        <w:rPr>
          <w:rFonts w:hint="eastAsia"/>
        </w:rPr>
        <w:t>充电站体验整体得分</w:t>
      </w:r>
    </w:p>
    <w:p>
      <w:pPr>
        <w:ind w:firstLine="640"/>
      </w:pPr>
      <w:r>
        <w:rPr>
          <w:rFonts w:hint="eastAsia"/>
        </w:rPr>
        <w:t>对于充电站是否含有以下功能分析，结果显示，</w:t>
      </w:r>
      <w:r>
        <w:t>87.0%</w:t>
      </w:r>
      <w:r>
        <w:rPr>
          <w:rFonts w:hint="eastAsia"/>
        </w:rPr>
        <w:t>显示充电状态，有6</w:t>
      </w:r>
      <w:r>
        <w:t>4.0%</w:t>
      </w:r>
      <w:r>
        <w:rPr>
          <w:rFonts w:hint="eastAsia"/>
        </w:rPr>
        <w:t>有地图导航的功能，6</w:t>
      </w:r>
      <w:r>
        <w:t>2.0%</w:t>
      </w:r>
      <w:r>
        <w:rPr>
          <w:rFonts w:hint="eastAsia"/>
        </w:rPr>
        <w:t>有费用查询的功能，对于预约、报修和售后服务功能较少，分别占比</w:t>
      </w:r>
      <w:r>
        <w:t>7.0</w:t>
      </w:r>
      <w:r>
        <w:rPr>
          <w:rFonts w:hint="eastAsia"/>
        </w:rPr>
        <w:t>%，</w:t>
      </w:r>
      <w:r>
        <w:t>2.0%</w:t>
      </w:r>
      <w:r>
        <w:rPr>
          <w:rFonts w:hint="eastAsia"/>
        </w:rPr>
        <w:t>和</w:t>
      </w:r>
      <w:r>
        <w:t>1.0%</w:t>
      </w:r>
      <w:r>
        <w:rPr>
          <w:rFonts w:hint="eastAsia"/>
        </w:rPr>
        <w:t>。</w:t>
      </w:r>
    </w:p>
    <w:p>
      <w:pPr>
        <w:pStyle w:val="27"/>
      </w:pPr>
      <w:r>
        <w:drawing>
          <wp:inline distT="0" distB="0" distL="114300" distR="114300">
            <wp:extent cx="5080000" cy="3305175"/>
            <wp:effectExtent l="0" t="0" r="0" b="0"/>
            <wp:docPr id="1565724357" name="图表 1565724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7"/>
        <w:ind w:firstLine="482"/>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30</w:t>
      </w:r>
      <w:r>
        <w:rPr>
          <w:rFonts w:ascii="Times New Roman" w:hAnsi="Times New Roman" w:cs="Times New Roman"/>
        </w:rPr>
        <w:fldChar w:fldCharType="end"/>
      </w:r>
      <w:r>
        <w:rPr>
          <w:rFonts w:ascii="Times New Roman" w:hAnsi="Times New Roman" w:cs="Times New Roman"/>
        </w:rPr>
        <w:t>电动汽车充电</w:t>
      </w:r>
      <w:r>
        <w:rPr>
          <w:rFonts w:hint="eastAsia" w:ascii="Times New Roman" w:hAnsi="Times New Roman" w:cs="Times New Roman"/>
        </w:rPr>
        <w:t>站功能</w:t>
      </w:r>
      <w:r>
        <w:rPr>
          <w:rFonts w:ascii="Times New Roman" w:hAnsi="Times New Roman" w:cs="Times New Roman"/>
        </w:rPr>
        <w:t>（%）</w:t>
      </w:r>
    </w:p>
    <w:p>
      <w:pPr>
        <w:ind w:firstLine="640"/>
      </w:pPr>
      <w:r>
        <w:rPr>
          <w:rFonts w:hint="eastAsia"/>
        </w:rPr>
        <w:t>从用户反馈充电站做的比较好的地方来看，距离、位置、环境、等候时间以及品牌受到用户的好评反馈。</w:t>
      </w:r>
    </w:p>
    <w:p>
      <w:pPr>
        <w:pStyle w:val="27"/>
      </w:pPr>
      <w:r>
        <w:pict>
          <v:shape id="_x0000_s2051" o:spid="_x0000_s2051" o:spt="100" style="height:133.9pt;width:430.5pt;v-text-anchor:middle;" fillcolor="#FFFFFF" filled="t" stroked="t" coordsize="5467350,1898985" adj="-11796480,,5400" path="m0,0nfc1786235,-32400,3921651,-109065,5467350,0c5509925,324223,5358507,1742471,5467350,1898985c2930452,1769160,2477441,2057718,0,1898985c-10462,1047282,83683,950091,0,0xem0,0nsc1324665,49037,4548626,314949,5467350,0c5353213,906275,5555895,1705814,5467350,1898985c3648292,2214183,1347403,1937078,0,1898985c27717,1619281,-130223,449335,0,0xem0,0nfnsc1356703,-19168,3552166,-73380,5467350,0c5542830,334158,5353151,1670583,5467350,1898985c2894095,1863138,2499756,2012008,0,1898985c-53430,1049714,92090,961559,0,0xem0,0nfnsc1487911,-186147,3780571,-8093,5467350,0c5574178,335947,5360861,1726456,5467350,1898985c2898249,1807687,2500292,2089259,0,1898985c-37024,1032609,92253,956716,0,0xe">
            <v:path textboxrect="0,0,5467350,1898985" arrowok="t" o:connecttype="custom" o:connectlocs="0,0;5467350,0;5467350,1898985;0,1898985;0,0" o:connectangles="0,0,0,0,0"/>
            <v:fill on="t" focussize="0,0"/>
            <v:stroke weight="0.5pt" color="#76923C" joinstyle="miter"/>
            <v:imagedata o:title=""/>
            <o:lock v:ext="edit"/>
            <v:textbox>
              <w:txbxContent>
                <w:p>
                  <w:pPr>
                    <w:spacing w:line="360" w:lineRule="auto"/>
                    <w:ind w:firstLine="482"/>
                    <w:rPr>
                      <w:rFonts w:ascii="仿宋" w:hAnsi="仿宋"/>
                      <w:b/>
                      <w:bCs/>
                      <w:sz w:val="24"/>
                    </w:rPr>
                  </w:pPr>
                  <w:r>
                    <w:rPr>
                      <w:rFonts w:hint="eastAsia" w:ascii="仿宋" w:hAnsi="仿宋"/>
                      <w:b/>
                      <w:bCs/>
                      <w:sz w:val="24"/>
                    </w:rPr>
                    <w:t>充电站获得好评的用户反馈：</w:t>
                  </w:r>
                </w:p>
                <w:p>
                  <w:pPr>
                    <w:spacing w:line="360" w:lineRule="auto"/>
                    <w:ind w:firstLine="480"/>
                    <w:rPr>
                      <w:rFonts w:ascii="仿宋" w:hAnsi="仿宋"/>
                      <w:sz w:val="24"/>
                    </w:rPr>
                  </w:pPr>
                  <w:r>
                    <w:rPr>
                      <w:rFonts w:hint="eastAsia" w:ascii="仿宋" w:hAnsi="仿宋"/>
                      <w:sz w:val="24"/>
                    </w:rPr>
                    <w:t>充电桩近、方便</w:t>
                  </w:r>
                </w:p>
                <w:p>
                  <w:pPr>
                    <w:spacing w:line="360" w:lineRule="auto"/>
                    <w:ind w:firstLine="480"/>
                    <w:rPr>
                      <w:rFonts w:ascii="仿宋" w:hAnsi="仿宋"/>
                      <w:sz w:val="24"/>
                    </w:rPr>
                  </w:pPr>
                  <w:r>
                    <w:rPr>
                      <w:rFonts w:hint="eastAsia" w:ascii="仿宋" w:hAnsi="仿宋"/>
                      <w:sz w:val="24"/>
                    </w:rPr>
                    <w:t>充电桩多，可以满足客户需求</w:t>
                  </w:r>
                </w:p>
                <w:p>
                  <w:pPr>
                    <w:spacing w:line="360" w:lineRule="auto"/>
                    <w:ind w:firstLine="480"/>
                    <w:rPr>
                      <w:rFonts w:ascii="仿宋" w:hAnsi="仿宋"/>
                      <w:sz w:val="24"/>
                    </w:rPr>
                  </w:pPr>
                  <w:r>
                    <w:rPr>
                      <w:rFonts w:hint="eastAsia" w:ascii="仿宋" w:hAnsi="仿宋"/>
                      <w:sz w:val="24"/>
                    </w:rPr>
                    <w:t>充电站明显，环境好，不用等</w:t>
                  </w:r>
                </w:p>
                <w:p>
                  <w:pPr>
                    <w:spacing w:line="360" w:lineRule="auto"/>
                    <w:ind w:firstLine="480"/>
                    <w:rPr>
                      <w:rFonts w:ascii="仿宋" w:hAnsi="仿宋"/>
                      <w:sz w:val="24"/>
                    </w:rPr>
                  </w:pPr>
                  <w:r>
                    <w:rPr>
                      <w:rFonts w:hint="eastAsia" w:ascii="仿宋" w:hAnsi="仿宋"/>
                      <w:sz w:val="24"/>
                    </w:rPr>
                    <w:t>比较方便，不用等候，可挑选的品牌比较多。</w:t>
                  </w:r>
                </w:p>
              </w:txbxContent>
            </v:textbox>
            <w10:wrap type="none"/>
            <w10:anchorlock/>
          </v:shape>
        </w:pict>
      </w:r>
    </w:p>
    <w:p>
      <w:pPr>
        <w:ind w:firstLine="640"/>
      </w:pPr>
      <w:r>
        <w:rPr>
          <w:rFonts w:hint="eastAsia"/>
        </w:rPr>
        <w:t xml:space="preserve">从用户反馈充电站不满意的地方来看，数量、破损、使用便利性、费用问题是用户首要不满意的方面。 </w:t>
      </w:r>
    </w:p>
    <w:p>
      <w:pPr>
        <w:pStyle w:val="27"/>
      </w:pPr>
      <w:r>
        <w:pict>
          <v:shape id="文本框 41" o:spid="_x0000_s2050" o:spt="100" style="height:244pt;width:430.5pt;v-text-anchor:middle;" fillcolor="#FFFFFF" filled="t" stroked="t" coordsize="5467350,1898985" adj="-11796480,,5400" path="m0,0nfc1786235,-32400,3921651,-109065,5467350,0c5509925,324223,5358507,1742471,5467350,1898985c2930452,1769160,2477441,2057718,0,1898985c-10462,1047282,83683,950091,0,0xem0,0nsc1324665,49037,4548626,314949,5467350,0c5353213,906275,5555895,1705814,5467350,1898985c3648292,2214183,1347403,1937078,0,1898985c27717,1619281,-130223,449335,0,0xem0,0nfnsc1356703,-19168,3552166,-73380,5467350,0c5542830,334158,5353151,1670583,5467350,1898985c2894095,1863138,2499756,2012008,0,1898985c-53430,1049714,92090,961559,0,0xem0,0nfnsc1487911,-186147,3780571,-8093,5467350,0c5574178,335947,5360861,1726456,5467350,1898985c2898249,1807687,2500292,2089259,0,1898985c-37024,1032609,92253,956716,0,0xe">
            <v:path textboxrect="0,0,5467350,1898985" arrowok="t" o:connecttype="custom" o:connectlocs="0,0;5467350,0;5467350,1898985;0,1898985;0,0" o:connectangles="0,0,0,0,0"/>
            <v:fill on="t" focussize="0,0"/>
            <v:stroke weight="0.5pt" color="#E36C0A" joinstyle="miter"/>
            <v:imagedata o:title=""/>
            <o:lock v:ext="edit"/>
            <v:textbox>
              <w:txbxContent>
                <w:p>
                  <w:pPr>
                    <w:spacing w:line="360" w:lineRule="auto"/>
                    <w:ind w:firstLine="482"/>
                    <w:rPr>
                      <w:rFonts w:ascii="仿宋" w:hAnsi="仿宋"/>
                      <w:b/>
                      <w:bCs/>
                      <w:sz w:val="24"/>
                    </w:rPr>
                  </w:pPr>
                  <w:r>
                    <w:rPr>
                      <w:rFonts w:hint="eastAsia" w:ascii="仿宋" w:hAnsi="仿宋"/>
                      <w:b/>
                      <w:bCs/>
                      <w:sz w:val="24"/>
                    </w:rPr>
                    <w:t>充电站用户不满意的方面：</w:t>
                  </w:r>
                </w:p>
                <w:p>
                  <w:pPr>
                    <w:spacing w:line="360" w:lineRule="auto"/>
                    <w:ind w:firstLine="480"/>
                    <w:rPr>
                      <w:rFonts w:ascii="仿宋" w:hAnsi="仿宋"/>
                      <w:sz w:val="24"/>
                    </w:rPr>
                  </w:pPr>
                  <w:r>
                    <w:rPr>
                      <w:rFonts w:hint="eastAsia" w:ascii="仿宋" w:hAnsi="仿宋"/>
                      <w:sz w:val="24"/>
                    </w:rPr>
                    <w:t>充电桩数量少</w:t>
                  </w:r>
                </w:p>
                <w:p>
                  <w:pPr>
                    <w:spacing w:line="360" w:lineRule="auto"/>
                    <w:ind w:firstLine="480"/>
                    <w:rPr>
                      <w:rFonts w:ascii="仿宋" w:hAnsi="仿宋"/>
                      <w:sz w:val="24"/>
                    </w:rPr>
                  </w:pPr>
                  <w:r>
                    <w:rPr>
                      <w:rFonts w:hint="eastAsia" w:ascii="仿宋" w:hAnsi="仿宋"/>
                      <w:sz w:val="24"/>
                    </w:rPr>
                    <w:t>没有休息区、卫生间、要收停车费</w:t>
                  </w:r>
                </w:p>
                <w:p>
                  <w:pPr>
                    <w:spacing w:line="360" w:lineRule="auto"/>
                    <w:ind w:firstLine="480"/>
                    <w:rPr>
                      <w:rFonts w:ascii="仿宋" w:hAnsi="仿宋"/>
                      <w:sz w:val="24"/>
                    </w:rPr>
                  </w:pPr>
                  <w:r>
                    <w:rPr>
                      <w:rFonts w:hint="eastAsia" w:ascii="仿宋" w:hAnsi="仿宋"/>
                      <w:sz w:val="24"/>
                    </w:rPr>
                    <w:t>充电桩有问题，2个小时才有20%-30%，这个位置有2个停车场，但是只有1个地方有充电桩</w:t>
                  </w:r>
                </w:p>
                <w:p>
                  <w:pPr>
                    <w:spacing w:line="360" w:lineRule="auto"/>
                    <w:ind w:firstLine="480"/>
                    <w:rPr>
                      <w:rFonts w:ascii="仿宋" w:hAnsi="仿宋"/>
                      <w:sz w:val="24"/>
                    </w:rPr>
                  </w:pPr>
                  <w:r>
                    <w:rPr>
                      <w:rFonts w:hint="eastAsia" w:ascii="仿宋" w:hAnsi="仿宋"/>
                      <w:sz w:val="24"/>
                    </w:rPr>
                    <w:t>充电要下载APP，还要充值才能使用</w:t>
                  </w:r>
                </w:p>
                <w:p>
                  <w:pPr>
                    <w:spacing w:line="360" w:lineRule="auto"/>
                    <w:ind w:firstLine="480"/>
                    <w:rPr>
                      <w:rFonts w:ascii="仿宋" w:hAnsi="仿宋"/>
                      <w:sz w:val="24"/>
                    </w:rPr>
                  </w:pPr>
                  <w:r>
                    <w:rPr>
                      <w:rFonts w:hint="eastAsia" w:ascii="仿宋" w:hAnsi="仿宋"/>
                      <w:sz w:val="24"/>
                    </w:rPr>
                    <w:t>电费贵，占用车位多</w:t>
                  </w:r>
                </w:p>
                <w:p>
                  <w:pPr>
                    <w:spacing w:line="360" w:lineRule="auto"/>
                    <w:ind w:firstLine="480"/>
                    <w:rPr>
                      <w:rFonts w:ascii="仿宋" w:hAnsi="仿宋"/>
                      <w:sz w:val="24"/>
                    </w:rPr>
                  </w:pPr>
                  <w:r>
                    <w:rPr>
                      <w:rFonts w:hint="eastAsia" w:ascii="仿宋" w:hAnsi="仿宋"/>
                      <w:sz w:val="24"/>
                    </w:rPr>
                    <w:t>有几个坏了没人修、下雨天经常坏</w:t>
                  </w:r>
                </w:p>
                <w:p>
                  <w:pPr>
                    <w:spacing w:line="360" w:lineRule="auto"/>
                    <w:ind w:firstLine="480"/>
                    <w:rPr>
                      <w:rFonts w:ascii="仿宋" w:hAnsi="仿宋"/>
                      <w:sz w:val="24"/>
                    </w:rPr>
                  </w:pPr>
                  <w:r>
                    <w:rPr>
                      <w:rFonts w:hint="eastAsia" w:ascii="仿宋" w:hAnsi="仿宋"/>
                      <w:sz w:val="24"/>
                    </w:rPr>
                    <w:t>充电收停车费、停车费不免费</w:t>
                  </w:r>
                </w:p>
              </w:txbxContent>
            </v:textbox>
            <w10:wrap type="none"/>
            <w10:anchorlock/>
          </v:shape>
        </w:pict>
      </w:r>
    </w:p>
    <w:p>
      <w:pPr>
        <w:pStyle w:val="4"/>
        <w:ind w:firstLine="643"/>
      </w:pPr>
      <w:bookmarkStart w:id="29" w:name="_Toc157760699"/>
      <w:r>
        <w:rPr>
          <w:rFonts w:hint="eastAsia"/>
        </w:rPr>
        <w:t>（二）到达体验</w:t>
      </w:r>
      <w:bookmarkEnd w:id="29"/>
    </w:p>
    <w:p>
      <w:pPr>
        <w:ind w:firstLine="640"/>
      </w:pPr>
      <w:r>
        <w:rPr>
          <w:rFonts w:hint="eastAsia"/>
        </w:rPr>
        <w:t>用户对充电站地理位置便利性打分7</w:t>
      </w:r>
      <w:r>
        <w:t>.95</w:t>
      </w:r>
      <w:r>
        <w:rPr>
          <w:rFonts w:hint="eastAsia"/>
        </w:rPr>
        <w:t>分，对充电平台及A</w:t>
      </w:r>
      <w:r>
        <w:t>PP</w:t>
      </w:r>
      <w:r>
        <w:rPr>
          <w:rFonts w:hint="eastAsia"/>
        </w:rPr>
        <w:t>使用打分8</w:t>
      </w:r>
      <w:r>
        <w:t>.15</w:t>
      </w:r>
      <w:r>
        <w:rPr>
          <w:rFonts w:hint="eastAsia"/>
        </w:rPr>
        <w:t>分。</w:t>
      </w:r>
    </w:p>
    <w:p>
      <w:pPr>
        <w:pStyle w:val="27"/>
      </w:pPr>
      <w:r>
        <w:drawing>
          <wp:inline distT="0" distB="0" distL="114300" distR="114300">
            <wp:extent cx="5080000" cy="1828800"/>
            <wp:effectExtent l="0" t="0" r="0" b="0"/>
            <wp:docPr id="2102054262" name="图表 2102054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pStyle w:val="7"/>
        <w:ind w:firstLine="482"/>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31</w:t>
      </w:r>
      <w:r>
        <w:rPr>
          <w:rFonts w:ascii="Times New Roman" w:hAnsi="Times New Roman" w:cs="Times New Roman"/>
        </w:rPr>
        <w:fldChar w:fldCharType="end"/>
      </w:r>
      <w:r>
        <w:rPr>
          <w:rFonts w:hint="eastAsia" w:ascii="Times New Roman" w:hAnsi="Times New Roman" w:cs="Times New Roman"/>
        </w:rPr>
        <w:t>充电站到达体验评分</w:t>
      </w:r>
    </w:p>
    <w:p>
      <w:pPr>
        <w:ind w:firstLine="640"/>
      </w:pPr>
      <w:r>
        <w:rPr>
          <w:rFonts w:hint="eastAsia"/>
        </w:rPr>
        <w:t>对充电站周边是否含有以下建筑进行分析，9</w:t>
      </w:r>
      <w:r>
        <w:t>2</w:t>
      </w:r>
      <w:r>
        <w:rPr>
          <w:rFonts w:hint="eastAsia"/>
        </w:rPr>
        <w:t>.0</w:t>
      </w:r>
      <w:r>
        <w:t>%</w:t>
      </w:r>
      <w:r>
        <w:rPr>
          <w:rFonts w:hint="eastAsia"/>
        </w:rPr>
        <w:t>充电站周边有居住小区、8</w:t>
      </w:r>
      <w:r>
        <w:t>8.0%</w:t>
      </w:r>
      <w:r>
        <w:rPr>
          <w:rFonts w:hint="eastAsia"/>
        </w:rPr>
        <w:t>的充电站周边有公共停车场、其次是商业中心和医院、学校，分别占比5</w:t>
      </w:r>
      <w:r>
        <w:t>0.0%</w:t>
      </w:r>
      <w:r>
        <w:rPr>
          <w:rFonts w:hint="eastAsia"/>
        </w:rPr>
        <w:t>和2</w:t>
      </w:r>
      <w:r>
        <w:t>9.0%</w:t>
      </w:r>
      <w:r>
        <w:rPr>
          <w:rFonts w:hint="eastAsia"/>
        </w:rPr>
        <w:t>；高速公路、旅游景区、物流园区、文化艺术中心等占比较少，不足5</w:t>
      </w:r>
      <w:r>
        <w:t>%</w:t>
      </w:r>
      <w:r>
        <w:rPr>
          <w:rFonts w:hint="eastAsia"/>
        </w:rPr>
        <w:t>。</w:t>
      </w:r>
    </w:p>
    <w:p>
      <w:pPr>
        <w:pStyle w:val="27"/>
      </w:pPr>
      <w:r>
        <w:drawing>
          <wp:inline distT="0" distB="0" distL="114300" distR="114300">
            <wp:extent cx="5080000" cy="4328160"/>
            <wp:effectExtent l="0" t="0" r="0" b="0"/>
            <wp:docPr id="732244644" name="图表 7322446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7"/>
        <w:ind w:firstLine="482"/>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32</w:t>
      </w:r>
      <w:r>
        <w:rPr>
          <w:rFonts w:ascii="Times New Roman" w:hAnsi="Times New Roman" w:cs="Times New Roman"/>
        </w:rPr>
        <w:fldChar w:fldCharType="end"/>
      </w:r>
      <w:r>
        <w:rPr>
          <w:rFonts w:hint="eastAsia" w:ascii="Times New Roman" w:hAnsi="Times New Roman" w:cs="Times New Roman"/>
        </w:rPr>
        <w:t>充电站周边含有以下建筑</w:t>
      </w:r>
      <w:r>
        <w:rPr>
          <w:rFonts w:ascii="Times New Roman" w:hAnsi="Times New Roman" w:cs="Times New Roman"/>
        </w:rPr>
        <w:t>（%）</w:t>
      </w:r>
    </w:p>
    <w:p>
      <w:pPr>
        <w:pStyle w:val="4"/>
        <w:ind w:firstLine="643"/>
      </w:pPr>
      <w:bookmarkStart w:id="30" w:name="_Toc157760700"/>
      <w:r>
        <w:rPr>
          <w:rFonts w:hint="eastAsia"/>
        </w:rPr>
        <w:t>（三）充电体验</w:t>
      </w:r>
      <w:bookmarkEnd w:id="30"/>
    </w:p>
    <w:p>
      <w:pPr>
        <w:ind w:firstLine="640"/>
      </w:pPr>
      <w:r>
        <w:rPr>
          <w:rFonts w:hint="eastAsia"/>
        </w:rPr>
        <w:t>针对充电等待时间，有78.0%的情况下无需等待即可完成充电；在10分钟以内完成充电的情况占比7.0%；10-30分钟完成充电的情况占比9.0%；而30-60分钟完成充电的仅占6</w:t>
      </w:r>
      <w:r>
        <w:t>.0%</w:t>
      </w:r>
      <w:r>
        <w:rPr>
          <w:rFonts w:hint="eastAsia"/>
        </w:rPr>
        <w:t>。</w:t>
      </w:r>
    </w:p>
    <w:p>
      <w:pPr>
        <w:pStyle w:val="27"/>
      </w:pPr>
      <w:r>
        <w:rPr>
          <w:rFonts w:cs="Times New Roman"/>
        </w:rPr>
        <w:drawing>
          <wp:inline distT="0" distB="0" distL="114300" distR="114300">
            <wp:extent cx="5105400" cy="2486660"/>
            <wp:effectExtent l="0" t="0" r="0" b="0"/>
            <wp:docPr id="1007171137" name="图表 1007171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pStyle w:val="7"/>
        <w:ind w:firstLine="482"/>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33</w:t>
      </w:r>
      <w:r>
        <w:rPr>
          <w:rFonts w:ascii="Times New Roman" w:hAnsi="Times New Roman" w:cs="Times New Roman"/>
        </w:rPr>
        <w:fldChar w:fldCharType="end"/>
      </w:r>
      <w:r>
        <w:rPr>
          <w:rFonts w:hint="eastAsia" w:ascii="Times New Roman" w:hAnsi="Times New Roman" w:cs="Times New Roman"/>
        </w:rPr>
        <w:t>用户充电等待时间</w:t>
      </w:r>
      <w:r>
        <w:rPr>
          <w:rFonts w:ascii="Times New Roman" w:hAnsi="Times New Roman" w:cs="Times New Roman"/>
        </w:rPr>
        <w:t>（%）</w:t>
      </w:r>
    </w:p>
    <w:p>
      <w:pPr>
        <w:ind w:firstLine="640"/>
      </w:pPr>
      <w:r>
        <w:rPr>
          <w:rFonts w:hint="eastAsia"/>
        </w:rPr>
        <w:t>用户对充电站周围环境和氛围打分7</w:t>
      </w:r>
      <w:r>
        <w:t>.45</w:t>
      </w:r>
      <w:r>
        <w:rPr>
          <w:rFonts w:hint="eastAsia"/>
        </w:rPr>
        <w:t>分，对充电设施的卫生和清洁程度打分</w:t>
      </w:r>
      <w:r>
        <w:t>7.35</w:t>
      </w:r>
      <w:r>
        <w:rPr>
          <w:rFonts w:hint="eastAsia"/>
        </w:rPr>
        <w:t>分。</w:t>
      </w:r>
    </w:p>
    <w:p>
      <w:pPr>
        <w:pStyle w:val="27"/>
      </w:pPr>
      <w:r>
        <w:drawing>
          <wp:inline distT="0" distB="0" distL="114300" distR="114300">
            <wp:extent cx="5080000" cy="1600200"/>
            <wp:effectExtent l="0" t="0" r="0" b="0"/>
            <wp:docPr id="1003075785" name="图表 10030757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7"/>
        <w:ind w:firstLine="482"/>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34</w:t>
      </w:r>
      <w:r>
        <w:rPr>
          <w:rFonts w:ascii="Times New Roman" w:hAnsi="Times New Roman" w:cs="Times New Roman"/>
        </w:rPr>
        <w:fldChar w:fldCharType="end"/>
      </w:r>
      <w:r>
        <w:rPr>
          <w:rFonts w:hint="eastAsia" w:ascii="Times New Roman" w:hAnsi="Times New Roman" w:cs="Times New Roman"/>
        </w:rPr>
        <w:t>充电站环境氛围及卫生清洁程度打分</w:t>
      </w:r>
    </w:p>
    <w:p>
      <w:pPr>
        <w:ind w:firstLine="640"/>
      </w:pPr>
      <w:r>
        <w:rPr>
          <w:rFonts w:hint="eastAsia"/>
        </w:rPr>
        <w:t>从充电桩操作指引是否清晰易懂来看，非常易懂占比3</w:t>
      </w:r>
      <w:r>
        <w:t>6.0%</w:t>
      </w:r>
      <w:r>
        <w:rPr>
          <w:rFonts w:hint="eastAsia"/>
        </w:rPr>
        <w:t>，比较易懂占4</w:t>
      </w:r>
      <w:r>
        <w:t>4.0%</w:t>
      </w:r>
      <w:r>
        <w:rPr>
          <w:rFonts w:hint="eastAsia"/>
        </w:rPr>
        <w:t>，一般般占比1</w:t>
      </w:r>
      <w:r>
        <w:t>2.0%</w:t>
      </w:r>
      <w:r>
        <w:rPr>
          <w:rFonts w:hint="eastAsia"/>
        </w:rPr>
        <w:t>，不清晰仅占8</w:t>
      </w:r>
      <w:r>
        <w:t>.0%</w:t>
      </w:r>
      <w:r>
        <w:rPr>
          <w:rFonts w:hint="eastAsia"/>
        </w:rPr>
        <w:t>。</w:t>
      </w:r>
    </w:p>
    <w:p>
      <w:pPr>
        <w:pStyle w:val="27"/>
      </w:pPr>
      <w:r>
        <w:rPr>
          <w:rFonts w:cs="Times New Roman"/>
        </w:rPr>
        <w:drawing>
          <wp:inline distT="0" distB="0" distL="114300" distR="114300">
            <wp:extent cx="5105400" cy="2486660"/>
            <wp:effectExtent l="0" t="0" r="0" b="0"/>
            <wp:docPr id="1575904160" name="图表 1575904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pStyle w:val="7"/>
        <w:ind w:firstLine="482"/>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35</w:t>
      </w:r>
      <w:r>
        <w:rPr>
          <w:rFonts w:ascii="Times New Roman" w:hAnsi="Times New Roman" w:cs="Times New Roman"/>
        </w:rPr>
        <w:fldChar w:fldCharType="end"/>
      </w:r>
      <w:r>
        <w:rPr>
          <w:rFonts w:hint="eastAsia"/>
        </w:rPr>
        <w:t>充电桩操作指引是否清晰易懂</w:t>
      </w:r>
      <w:r>
        <w:rPr>
          <w:rFonts w:ascii="Times New Roman" w:hAnsi="Times New Roman" w:cs="Times New Roman"/>
        </w:rPr>
        <w:t>（%）</w:t>
      </w:r>
    </w:p>
    <w:p>
      <w:pPr>
        <w:ind w:firstLine="640"/>
      </w:pPr>
      <w:r>
        <w:rPr>
          <w:rFonts w:hint="eastAsia"/>
        </w:rPr>
        <w:t>对于佛山市充电站平均配置充电桩的数量来看，佛山市每个充电站平均配置1</w:t>
      </w:r>
      <w:r>
        <w:t>3.2</w:t>
      </w:r>
      <w:r>
        <w:rPr>
          <w:rFonts w:hint="eastAsia"/>
        </w:rPr>
        <w:t>个充电桩，其中空余充电桩平均配置7</w:t>
      </w:r>
      <w:r>
        <w:t>.2</w:t>
      </w:r>
      <w:r>
        <w:rPr>
          <w:rFonts w:hint="eastAsia"/>
        </w:rPr>
        <w:t>个；全市充电桩被占用比例为7</w:t>
      </w:r>
      <w:r>
        <w:t>.2%</w:t>
      </w:r>
      <w:r>
        <w:rPr>
          <w:rFonts w:hint="eastAsia"/>
        </w:rPr>
        <w:t>，充电桩破损占比1</w:t>
      </w:r>
      <w:r>
        <w:t>.5%</w:t>
      </w:r>
      <w:r>
        <w:rPr>
          <w:rFonts w:hint="eastAsia"/>
        </w:rPr>
        <w:t>。</w:t>
      </w:r>
    </w:p>
    <w:p>
      <w:pPr>
        <w:pStyle w:val="27"/>
      </w:pPr>
      <w:r>
        <w:drawing>
          <wp:inline distT="0" distB="0" distL="114300" distR="114300">
            <wp:extent cx="5080000" cy="1600200"/>
            <wp:effectExtent l="0" t="0" r="0" b="0"/>
            <wp:docPr id="2139908212" name="图表 2139908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pStyle w:val="7"/>
        <w:ind w:firstLine="482"/>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36</w:t>
      </w:r>
      <w:r>
        <w:rPr>
          <w:rFonts w:ascii="Times New Roman" w:hAnsi="Times New Roman" w:cs="Times New Roman"/>
        </w:rPr>
        <w:fldChar w:fldCharType="end"/>
      </w:r>
      <w:r>
        <w:rPr>
          <w:rFonts w:hint="eastAsia" w:ascii="Times New Roman" w:hAnsi="Times New Roman" w:cs="Times New Roman"/>
        </w:rPr>
        <w:t>充电站配置</w:t>
      </w:r>
      <w:r>
        <w:rPr>
          <w:rFonts w:hint="eastAsia"/>
        </w:rPr>
        <w:t>充电桩数量</w:t>
      </w:r>
    </w:p>
    <w:p>
      <w:pPr>
        <w:pStyle w:val="27"/>
      </w:pPr>
      <w:r>
        <w:rPr>
          <w:rFonts w:cs="Times New Roman"/>
        </w:rPr>
        <w:drawing>
          <wp:inline distT="0" distB="0" distL="0" distR="0">
            <wp:extent cx="2616200" cy="2545080"/>
            <wp:effectExtent l="0" t="0" r="0" b="0"/>
            <wp:docPr id="1954762335" name="图表 1954762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rFonts w:cs="Times New Roman"/>
        </w:rPr>
        <w:drawing>
          <wp:inline distT="0" distB="0" distL="0" distR="0">
            <wp:extent cx="2616200" cy="2545080"/>
            <wp:effectExtent l="0" t="0" r="0" b="0"/>
            <wp:docPr id="1896931472" name="图表 1896931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pStyle w:val="7"/>
        <w:ind w:firstLine="482"/>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r>
        <w:rPr>
          <w:rFonts w:hint="eastAsia"/>
        </w:rPr>
        <w:t>充电桩占用率、破损率</w:t>
      </w:r>
      <w:r>
        <w:rPr>
          <w:rFonts w:ascii="Times New Roman" w:hAnsi="Times New Roman" w:cs="Times New Roman"/>
        </w:rPr>
        <w:t>（%）</w:t>
      </w:r>
    </w:p>
    <w:p>
      <w:pPr>
        <w:pStyle w:val="4"/>
        <w:ind w:firstLine="643"/>
      </w:pPr>
      <w:bookmarkStart w:id="31" w:name="_Toc157760701"/>
      <w:r>
        <w:rPr>
          <w:rFonts w:hint="eastAsia"/>
        </w:rPr>
        <w:t>（四）付款体验</w:t>
      </w:r>
      <w:bookmarkEnd w:id="31"/>
    </w:p>
    <w:p>
      <w:pPr>
        <w:ind w:firstLine="640"/>
      </w:pPr>
      <w:r>
        <w:rPr>
          <w:rFonts w:hint="eastAsia"/>
        </w:rPr>
        <w:t>从充电的停车场停车收费形式来看，5</w:t>
      </w:r>
      <w:r>
        <w:t>4.0%</w:t>
      </w:r>
      <w:r>
        <w:rPr>
          <w:rFonts w:hint="eastAsia"/>
        </w:rPr>
        <w:t>的充电站限时免费停车，5</w:t>
      </w:r>
      <w:r>
        <w:t>0.0%</w:t>
      </w:r>
      <w:r>
        <w:rPr>
          <w:rFonts w:hint="eastAsia"/>
        </w:rPr>
        <w:t>的充电站收取充电服务费，有1</w:t>
      </w:r>
      <w:r>
        <w:t>0.0%</w:t>
      </w:r>
      <w:r>
        <w:rPr>
          <w:rFonts w:hint="eastAsia"/>
        </w:rPr>
        <w:t>的充电站收取停车占位费，7</w:t>
      </w:r>
      <w:r>
        <w:t>.0%</w:t>
      </w:r>
      <w:r>
        <w:rPr>
          <w:rFonts w:hint="eastAsia"/>
        </w:rPr>
        <w:t>的充电站按照停车场的标准收取。</w:t>
      </w:r>
    </w:p>
    <w:p>
      <w:pPr>
        <w:pStyle w:val="27"/>
      </w:pPr>
      <w:r>
        <w:drawing>
          <wp:inline distT="0" distB="0" distL="114300" distR="114300">
            <wp:extent cx="5080000" cy="2988310"/>
            <wp:effectExtent l="0" t="0" r="0" b="0"/>
            <wp:docPr id="1333687135" name="图表 1333687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pStyle w:val="7"/>
        <w:ind w:firstLine="482"/>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38</w:t>
      </w:r>
      <w:r>
        <w:rPr>
          <w:rFonts w:ascii="Times New Roman" w:hAnsi="Times New Roman" w:cs="Times New Roman"/>
        </w:rPr>
        <w:fldChar w:fldCharType="end"/>
      </w:r>
      <w:r>
        <w:rPr>
          <w:rFonts w:hint="eastAsia"/>
        </w:rPr>
        <w:t>充电的停车场停车收费形式</w:t>
      </w:r>
      <w:r>
        <w:rPr>
          <w:rFonts w:ascii="Times New Roman" w:hAnsi="Times New Roman" w:cs="Times New Roman"/>
        </w:rPr>
        <w:t>（%）</w:t>
      </w:r>
    </w:p>
    <w:p>
      <w:pPr>
        <w:ind w:firstLine="640"/>
      </w:pPr>
      <w:r>
        <w:rPr>
          <w:rFonts w:hint="eastAsia"/>
        </w:rPr>
        <w:t>用户对充电站支付方式打分</w:t>
      </w:r>
      <w:r>
        <w:t>8.5</w:t>
      </w:r>
      <w:r>
        <w:rPr>
          <w:rFonts w:hint="eastAsia"/>
        </w:rPr>
        <w:t>分，对发票、退款等服务打分8</w:t>
      </w:r>
      <w:r>
        <w:t>.5</w:t>
      </w:r>
      <w:r>
        <w:rPr>
          <w:rFonts w:hint="eastAsia"/>
        </w:rPr>
        <w:t>分。在付款体验方面评分相对较高</w:t>
      </w:r>
    </w:p>
    <w:p>
      <w:pPr>
        <w:pStyle w:val="27"/>
      </w:pPr>
      <w:r>
        <w:drawing>
          <wp:inline distT="0" distB="0" distL="114300" distR="114300">
            <wp:extent cx="5080000" cy="1600200"/>
            <wp:effectExtent l="0" t="0" r="0" b="0"/>
            <wp:docPr id="2134492303" name="图表 2134492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pStyle w:val="7"/>
        <w:ind w:firstLine="482"/>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39</w:t>
      </w:r>
      <w:r>
        <w:rPr>
          <w:rFonts w:ascii="Times New Roman" w:hAnsi="Times New Roman" w:cs="Times New Roman"/>
        </w:rPr>
        <w:fldChar w:fldCharType="end"/>
      </w:r>
      <w:r>
        <w:rPr>
          <w:rFonts w:hint="eastAsia"/>
        </w:rPr>
        <w:t>充电站支付方式及退款、发票等服务评分</w:t>
      </w:r>
    </w:p>
    <w:p>
      <w:pPr>
        <w:pStyle w:val="4"/>
        <w:ind w:firstLine="643"/>
      </w:pPr>
      <w:bookmarkStart w:id="32" w:name="_Toc157760702"/>
      <w:r>
        <w:rPr>
          <w:rFonts w:hint="eastAsia"/>
        </w:rPr>
        <w:t>（五）离开体验</w:t>
      </w:r>
      <w:bookmarkEnd w:id="32"/>
    </w:p>
    <w:p>
      <w:pPr>
        <w:ind w:firstLine="640"/>
      </w:pPr>
      <w:r>
        <w:rPr>
          <w:rFonts w:hint="eastAsia"/>
        </w:rPr>
        <w:t>对于每1</w:t>
      </w:r>
      <w:r>
        <w:t>0</w:t>
      </w:r>
      <w:r>
        <w:rPr>
          <w:rFonts w:hint="eastAsia"/>
        </w:rPr>
        <w:t>分钟充电总金额来看，平均是1</w:t>
      </w:r>
      <w:r>
        <w:t>4.9</w:t>
      </w:r>
      <w:r>
        <w:rPr>
          <w:rFonts w:hint="eastAsia"/>
        </w:rPr>
        <w:t>元，充电设备维护和管理方面的服务得分是7</w:t>
      </w:r>
      <w:r>
        <w:t>.85</w:t>
      </w:r>
      <w:r>
        <w:rPr>
          <w:rFonts w:hint="eastAsia"/>
        </w:rPr>
        <w:t>分，佛山市应加强对于充电设备的维护和管理工作。</w:t>
      </w:r>
    </w:p>
    <w:p>
      <w:pPr>
        <w:pStyle w:val="27"/>
      </w:pPr>
      <w:r>
        <w:drawing>
          <wp:inline distT="0" distB="0" distL="114300" distR="114300">
            <wp:extent cx="5080000" cy="981710"/>
            <wp:effectExtent l="0" t="0" r="0" b="0"/>
            <wp:docPr id="1395017919" name="图表 13950179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pStyle w:val="7"/>
        <w:ind w:firstLine="640"/>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rPr>
          <w:rFonts w:hint="eastAsia"/>
        </w:rPr>
        <w:t>充电设备维护和管理方面的服务评价</w:t>
      </w:r>
    </w:p>
    <w:p>
      <w:pPr>
        <w:widowControl/>
        <w:spacing w:line="240" w:lineRule="auto"/>
        <w:ind w:firstLine="0" w:firstLineChars="0"/>
        <w:jc w:val="left"/>
        <w:rPr>
          <w:rFonts w:eastAsia="楷体_GB2312" w:cs="Times New Roman"/>
          <w:b/>
          <w:bCs/>
          <w:szCs w:val="32"/>
        </w:rPr>
      </w:pPr>
      <w:r>
        <w:rPr>
          <w:rFonts w:eastAsia="楷体_GB2312" w:cs="Times New Roman"/>
        </w:rPr>
        <w:br w:type="page"/>
      </w:r>
    </w:p>
    <w:p>
      <w:pPr>
        <w:pStyle w:val="3"/>
        <w:spacing w:line="560" w:lineRule="exact"/>
        <w:ind w:firstLine="640"/>
        <w:rPr>
          <w:rFonts w:eastAsia="楷体_GB2312" w:cs="Times New Roman"/>
        </w:rPr>
      </w:pPr>
      <w:bookmarkStart w:id="33" w:name="_Toc157760703"/>
      <w:r>
        <w:rPr>
          <w:rFonts w:hint="eastAsia" w:eastAsia="楷体_GB2312" w:cs="Times New Roman"/>
        </w:rPr>
        <w:t>二、实地体验调查中发现的问题</w:t>
      </w:r>
      <w:bookmarkEnd w:id="33"/>
    </w:p>
    <w:p>
      <w:pPr>
        <w:pStyle w:val="4"/>
        <w:ind w:firstLine="643"/>
      </w:pPr>
      <w:bookmarkStart w:id="34" w:name="_Toc157760704"/>
      <w:r>
        <w:rPr>
          <w:rFonts w:hint="eastAsia"/>
        </w:rPr>
        <w:t>（一）</w:t>
      </w:r>
      <w:r>
        <w:t>充电桩被占用问题突出，用户满意度</w:t>
      </w:r>
      <w:r>
        <w:rPr>
          <w:rFonts w:hint="eastAsia"/>
        </w:rPr>
        <w:t>不佳</w:t>
      </w:r>
      <w:bookmarkEnd w:id="34"/>
    </w:p>
    <w:p>
      <w:pPr>
        <w:ind w:firstLine="640"/>
        <w:rPr>
          <w:rFonts w:eastAsia="仿宋_GB2312" w:cs="Times New Roman"/>
        </w:rPr>
      </w:pPr>
      <w:r>
        <w:rPr>
          <w:rFonts w:eastAsia="仿宋_GB2312" w:cs="Times New Roman"/>
        </w:rPr>
        <w:t>实地体验调查中发现，充电场所车辆停放混乱，不仅有燃油车占用充电位而导致新能源汽车无法充电，还有部分新能源车在充电后不及时离开充电桩或停放占用充电桩却不使用的情况，这些都浪费了充电资源，使得电车车主无法及时充电；此外，充电场所环境卫生状况不佳，存在着脏乱的现象。这些问题直接降低了车主使用充电设施的意愿和满意度。结合前文提及的问卷调查结果，充电车位被非电动车或已充满电的车辆占用问题，导致电动汽车无法使用充电桩，特别是在高峰时段，更容易出现此类情况。</w:t>
      </w:r>
    </w:p>
    <w:p>
      <w:pPr>
        <w:pStyle w:val="27"/>
        <w:rPr>
          <w:rFonts w:cs="Times New Roman"/>
        </w:rPr>
      </w:pPr>
      <w:r>
        <w:drawing>
          <wp:inline distT="0" distB="0" distL="0" distR="0">
            <wp:extent cx="2555875" cy="2200910"/>
            <wp:effectExtent l="0" t="0" r="0" b="0"/>
            <wp:docPr id="19494147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14744" name="图片 1"/>
                    <pic:cNvPicPr>
                      <a:picLocks noChangeAspect="1"/>
                    </pic:cNvPicPr>
                  </pic:nvPicPr>
                  <pic:blipFill>
                    <a:blip r:embed="rId56"/>
                    <a:stretch>
                      <a:fillRect/>
                    </a:stretch>
                  </pic:blipFill>
                  <pic:spPr>
                    <a:xfrm>
                      <a:off x="0" y="0"/>
                      <a:ext cx="2573987" cy="2216368"/>
                    </a:xfrm>
                    <a:prstGeom prst="rect">
                      <a:avLst/>
                    </a:prstGeom>
                  </pic:spPr>
                </pic:pic>
              </a:graphicData>
            </a:graphic>
          </wp:inline>
        </w:drawing>
      </w:r>
      <w:r>
        <w:drawing>
          <wp:inline distT="0" distB="0" distL="0" distR="0">
            <wp:extent cx="2406015" cy="2200275"/>
            <wp:effectExtent l="0" t="0" r="0" b="0"/>
            <wp:docPr id="195544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42306" name="图片 1"/>
                    <pic:cNvPicPr>
                      <a:picLocks noChangeAspect="1"/>
                    </pic:cNvPicPr>
                  </pic:nvPicPr>
                  <pic:blipFill>
                    <a:blip r:embed="rId57"/>
                    <a:stretch>
                      <a:fillRect/>
                    </a:stretch>
                  </pic:blipFill>
                  <pic:spPr>
                    <a:xfrm>
                      <a:off x="0" y="0"/>
                      <a:ext cx="2418636" cy="2212111"/>
                    </a:xfrm>
                    <a:prstGeom prst="rect">
                      <a:avLst/>
                    </a:prstGeom>
                  </pic:spPr>
                </pic:pic>
              </a:graphicData>
            </a:graphic>
          </wp:inline>
        </w:drawing>
      </w:r>
    </w:p>
    <w:p>
      <w:pPr>
        <w:pStyle w:val="7"/>
        <w:ind w:firstLine="360"/>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41</w:t>
      </w:r>
      <w:r>
        <w:rPr>
          <w:rFonts w:ascii="Times New Roman" w:hAnsi="Times New Roman" w:cs="Times New Roman"/>
        </w:rPr>
        <w:fldChar w:fldCharType="end"/>
      </w:r>
      <w:r>
        <w:rPr>
          <w:rFonts w:ascii="Times New Roman" w:hAnsi="Times New Roman" w:cs="Times New Roman"/>
        </w:rPr>
        <w:t>（左）南海区-南方电网-桂诚街道千灯湖公园</w:t>
      </w:r>
    </w:p>
    <w:p>
      <w:pPr>
        <w:pStyle w:val="7"/>
        <w:ind w:firstLine="360"/>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42</w:t>
      </w:r>
      <w:r>
        <w:rPr>
          <w:rFonts w:ascii="Times New Roman" w:hAnsi="Times New Roman" w:cs="Times New Roman"/>
        </w:rPr>
        <w:fldChar w:fldCharType="end"/>
      </w:r>
      <w:r>
        <w:rPr>
          <w:rFonts w:ascii="Times New Roman" w:hAnsi="Times New Roman" w:cs="Times New Roman"/>
        </w:rPr>
        <w:t>（右）南海区-特来电-桂诚街道泰华公园</w:t>
      </w:r>
    </w:p>
    <w:p>
      <w:pPr>
        <w:pStyle w:val="27"/>
        <w:rPr>
          <w:rFonts w:cs="Times New Roman"/>
        </w:rPr>
      </w:pPr>
      <w:r>
        <w:drawing>
          <wp:inline distT="0" distB="0" distL="0" distR="0">
            <wp:extent cx="2574290" cy="2196465"/>
            <wp:effectExtent l="0" t="0" r="0" b="0"/>
            <wp:docPr id="4580724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72470" name="图片 1"/>
                    <pic:cNvPicPr>
                      <a:picLocks noChangeAspect="1"/>
                    </pic:cNvPicPr>
                  </pic:nvPicPr>
                  <pic:blipFill>
                    <a:blip r:embed="rId58"/>
                    <a:stretch>
                      <a:fillRect/>
                    </a:stretch>
                  </pic:blipFill>
                  <pic:spPr>
                    <a:xfrm>
                      <a:off x="0" y="0"/>
                      <a:ext cx="2586221" cy="2206459"/>
                    </a:xfrm>
                    <a:prstGeom prst="rect">
                      <a:avLst/>
                    </a:prstGeom>
                  </pic:spPr>
                </pic:pic>
              </a:graphicData>
            </a:graphic>
          </wp:inline>
        </w:drawing>
      </w:r>
      <w:r>
        <w:drawing>
          <wp:inline distT="0" distB="0" distL="0" distR="0">
            <wp:extent cx="2458720" cy="2214245"/>
            <wp:effectExtent l="0" t="0" r="0" b="0"/>
            <wp:docPr id="4713026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02664" name="图片 1"/>
                    <pic:cNvPicPr>
                      <a:picLocks noChangeAspect="1"/>
                    </pic:cNvPicPr>
                  </pic:nvPicPr>
                  <pic:blipFill>
                    <a:blip r:embed="rId59"/>
                    <a:stretch>
                      <a:fillRect/>
                    </a:stretch>
                  </pic:blipFill>
                  <pic:spPr>
                    <a:xfrm>
                      <a:off x="0" y="0"/>
                      <a:ext cx="2479585" cy="2232700"/>
                    </a:xfrm>
                    <a:prstGeom prst="rect">
                      <a:avLst/>
                    </a:prstGeom>
                  </pic:spPr>
                </pic:pic>
              </a:graphicData>
            </a:graphic>
          </wp:inline>
        </w:drawing>
      </w:r>
    </w:p>
    <w:p>
      <w:pPr>
        <w:pStyle w:val="7"/>
        <w:ind w:firstLine="640"/>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r>
        <w:rPr>
          <w:rFonts w:ascii="Times New Roman" w:hAnsi="Times New Roman" w:cs="Times New Roman"/>
        </w:rPr>
        <w:t>（左）顺德区-小桔充电-一壶茶艺馆</w:t>
      </w:r>
    </w:p>
    <w:p>
      <w:pPr>
        <w:pStyle w:val="7"/>
        <w:ind w:firstLine="640"/>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44</w:t>
      </w:r>
      <w:r>
        <w:rPr>
          <w:rFonts w:ascii="Times New Roman" w:hAnsi="Times New Roman" w:cs="Times New Roman"/>
        </w:rPr>
        <w:fldChar w:fldCharType="end"/>
      </w:r>
      <w:r>
        <w:rPr>
          <w:rFonts w:ascii="Times New Roman" w:hAnsi="Times New Roman" w:cs="Times New Roman"/>
        </w:rPr>
        <w:t>（右）顺德区-星星充电-德胜文化广场</w:t>
      </w:r>
    </w:p>
    <w:p>
      <w:pPr>
        <w:pStyle w:val="4"/>
        <w:ind w:firstLine="643"/>
      </w:pPr>
      <w:bookmarkStart w:id="35" w:name="_Toc157760705"/>
      <w:r>
        <w:rPr>
          <w:rFonts w:hint="eastAsia"/>
        </w:rPr>
        <w:t>（二）</w:t>
      </w:r>
      <w:r>
        <w:t>充电服务故障损坏频发，用户体验受损</w:t>
      </w:r>
      <w:bookmarkEnd w:id="35"/>
    </w:p>
    <w:p>
      <w:pPr>
        <w:ind w:firstLine="640"/>
        <w:rPr>
          <w:rFonts w:eastAsia="仿宋_GB2312" w:cs="Times New Roman"/>
        </w:rPr>
      </w:pPr>
      <w:r>
        <w:rPr>
          <w:rFonts w:eastAsia="仿宋_GB2312" w:cs="Times New Roman"/>
        </w:rPr>
        <w:t>在充电服务体验调查中，故障损坏问题是最突出的痛点之一。充电设施维护不到位、解决故障不及时、品牌服务响应能力不足等问题普遍存在，很多充电桩存在“有桩无电”的现象。不少用户反映，部分充电设备已经出现了不同程度的故障和损坏，导致无法正常使用。例如，一些充电桩无法供电，充电线松动或断裂，甚至还有部分充电桩被恶意损坏。这些问题不仅直接影响了用户的充电体验和出行安全，也降低了电动汽车充电服务的整体质量和可靠性。</w:t>
      </w:r>
    </w:p>
    <w:p>
      <w:pPr>
        <w:pStyle w:val="27"/>
        <w:jc w:val="center"/>
        <w:rPr>
          <w:rFonts w:cs="Times New Roman"/>
        </w:rPr>
      </w:pPr>
      <w:r>
        <w:rPr>
          <w:rFonts w:cs="Times New Roman"/>
        </w:rPr>
        <w:drawing>
          <wp:inline distT="0" distB="0" distL="0" distR="0">
            <wp:extent cx="2666365" cy="1930400"/>
            <wp:effectExtent l="0" t="0" r="0" b="0"/>
            <wp:docPr id="3627743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74349" name="图片 6"/>
                    <pic:cNvPicPr>
                      <a:picLocks noChangeAspect="1" noChangeArrowheads="1"/>
                    </pic:cNvPicPr>
                  </pic:nvPicPr>
                  <pic:blipFill>
                    <a:blip r:embed="rId60" cstate="print">
                      <a:extLst>
                        <a:ext uri="{28A0092B-C50C-407E-A947-70E740481C1C}">
                          <a14:useLocalDpi xmlns:a14="http://schemas.microsoft.com/office/drawing/2010/main" val="0"/>
                        </a:ext>
                      </a:extLst>
                    </a:blip>
                    <a:srcRect t="14767" b="30951"/>
                    <a:stretch>
                      <a:fillRect/>
                    </a:stretch>
                  </pic:blipFill>
                  <pic:spPr>
                    <a:xfrm>
                      <a:off x="0" y="0"/>
                      <a:ext cx="2695692" cy="1951629"/>
                    </a:xfrm>
                    <a:prstGeom prst="rect">
                      <a:avLst/>
                    </a:prstGeom>
                    <a:noFill/>
                    <a:ln>
                      <a:noFill/>
                    </a:ln>
                  </pic:spPr>
                </pic:pic>
              </a:graphicData>
            </a:graphic>
          </wp:inline>
        </w:drawing>
      </w:r>
    </w:p>
    <w:p>
      <w:pPr>
        <w:pStyle w:val="7"/>
        <w:ind w:firstLine="360"/>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45</w:t>
      </w:r>
      <w:r>
        <w:rPr>
          <w:rFonts w:ascii="Times New Roman" w:hAnsi="Times New Roman" w:cs="Times New Roman"/>
        </w:rPr>
        <w:fldChar w:fldCharType="end"/>
      </w:r>
      <w:r>
        <w:rPr>
          <w:rFonts w:ascii="Times New Roman" w:hAnsi="Times New Roman" w:cs="Times New Roman"/>
        </w:rPr>
        <w:t>南海区-南方电网-瀚天科技</w:t>
      </w:r>
    </w:p>
    <w:p>
      <w:pPr>
        <w:pStyle w:val="4"/>
        <w:ind w:firstLine="643"/>
      </w:pPr>
      <w:bookmarkStart w:id="36" w:name="_Toc157760706"/>
      <w:r>
        <w:rPr>
          <w:rFonts w:hint="eastAsia"/>
        </w:rPr>
        <w:t>（三）</w:t>
      </w:r>
      <w:r>
        <w:t>充电收费标准不统一，</w:t>
      </w:r>
      <w:r>
        <w:rPr>
          <w:rFonts w:hint="eastAsia"/>
        </w:rPr>
        <w:t>增加用户时间成本</w:t>
      </w:r>
      <w:bookmarkEnd w:id="36"/>
    </w:p>
    <w:p>
      <w:pPr>
        <w:ind w:firstLine="640"/>
        <w:rPr>
          <w:rFonts w:eastAsia="仿宋_GB2312" w:cs="Times New Roman"/>
        </w:rPr>
      </w:pPr>
      <w:r>
        <w:rPr>
          <w:rFonts w:eastAsia="仿宋_GB2312" w:cs="Times New Roman"/>
        </w:rPr>
        <w:t>在电动汽车充电服务体验调查中，充电单价不统一也是存在的问题之一。不同的充电站或者充电桩之间会存在着不同的充电价格，同一品牌充电单价也有差异，给电动汽车车主充电过程中带来了一定的困扰和不便。这不仅使得车主需要耗费更多的时间和精力去寻找价格更低、更合适的充电设施，也增加了充电费用的支出，影响了电动汽车的使用成本效益。</w:t>
      </w:r>
    </w:p>
    <w:p>
      <w:pPr>
        <w:pStyle w:val="27"/>
        <w:rPr>
          <w:rFonts w:cs="Times New Roman"/>
        </w:rPr>
      </w:pPr>
      <w:r>
        <w:rPr>
          <w:rFonts w:cs="Times New Roman"/>
        </w:rPr>
        <w:drawing>
          <wp:inline distT="0" distB="0" distL="0" distR="0">
            <wp:extent cx="2421255" cy="951230"/>
            <wp:effectExtent l="0" t="0" r="0" b="0"/>
            <wp:docPr id="789329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2952" name="图片 1"/>
                    <pic:cNvPicPr>
                      <a:picLocks noChangeAspect="1"/>
                    </pic:cNvPicPr>
                  </pic:nvPicPr>
                  <pic:blipFill>
                    <a:blip r:embed="rId61"/>
                    <a:stretch>
                      <a:fillRect/>
                    </a:stretch>
                  </pic:blipFill>
                  <pic:spPr>
                    <a:xfrm>
                      <a:off x="0" y="0"/>
                      <a:ext cx="2438765" cy="958493"/>
                    </a:xfrm>
                    <a:prstGeom prst="rect">
                      <a:avLst/>
                    </a:prstGeom>
                  </pic:spPr>
                </pic:pic>
              </a:graphicData>
            </a:graphic>
          </wp:inline>
        </w:drawing>
      </w:r>
      <w:r>
        <w:rPr>
          <w:rFonts w:cs="Times New Roman"/>
        </w:rPr>
        <w:drawing>
          <wp:inline distT="0" distB="0" distL="0" distR="0">
            <wp:extent cx="2486660" cy="925195"/>
            <wp:effectExtent l="0" t="0" r="0" b="0"/>
            <wp:docPr id="9329833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83372" name="图片 1"/>
                    <pic:cNvPicPr>
                      <a:picLocks noChangeAspect="1"/>
                    </pic:cNvPicPr>
                  </pic:nvPicPr>
                  <pic:blipFill>
                    <a:blip r:embed="rId62"/>
                    <a:stretch>
                      <a:fillRect/>
                    </a:stretch>
                  </pic:blipFill>
                  <pic:spPr>
                    <a:xfrm>
                      <a:off x="0" y="0"/>
                      <a:ext cx="2501443" cy="930770"/>
                    </a:xfrm>
                    <a:prstGeom prst="rect">
                      <a:avLst/>
                    </a:prstGeom>
                  </pic:spPr>
                </pic:pic>
              </a:graphicData>
            </a:graphic>
          </wp:inline>
        </w:drawing>
      </w:r>
    </w:p>
    <w:p>
      <w:pPr>
        <w:pStyle w:val="27"/>
        <w:rPr>
          <w:rFonts w:cs="Times New Roman"/>
        </w:rPr>
      </w:pPr>
      <w:r>
        <w:rPr>
          <w:rFonts w:cs="Times New Roman"/>
        </w:rPr>
        <w:drawing>
          <wp:inline distT="0" distB="0" distL="0" distR="0">
            <wp:extent cx="2465070" cy="985520"/>
            <wp:effectExtent l="0" t="0" r="0" b="0"/>
            <wp:docPr id="3936918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91889" name="图片 1"/>
                    <pic:cNvPicPr>
                      <a:picLocks noChangeAspect="1"/>
                    </pic:cNvPicPr>
                  </pic:nvPicPr>
                  <pic:blipFill>
                    <a:blip r:embed="rId63"/>
                    <a:stretch>
                      <a:fillRect/>
                    </a:stretch>
                  </pic:blipFill>
                  <pic:spPr>
                    <a:xfrm>
                      <a:off x="0" y="0"/>
                      <a:ext cx="2473966" cy="989586"/>
                    </a:xfrm>
                    <a:prstGeom prst="rect">
                      <a:avLst/>
                    </a:prstGeom>
                  </pic:spPr>
                </pic:pic>
              </a:graphicData>
            </a:graphic>
          </wp:inline>
        </w:drawing>
      </w:r>
      <w:r>
        <w:rPr>
          <w:rFonts w:cs="Times New Roman"/>
        </w:rPr>
        <w:t xml:space="preserve"> </w:t>
      </w:r>
      <w:r>
        <w:rPr>
          <w:rFonts w:cs="Times New Roman"/>
        </w:rPr>
        <w:drawing>
          <wp:inline distT="0" distB="0" distL="0" distR="0">
            <wp:extent cx="2589530" cy="945515"/>
            <wp:effectExtent l="0" t="0" r="0" b="0"/>
            <wp:docPr id="20073263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26317" name="图片 1"/>
                    <pic:cNvPicPr>
                      <a:picLocks noChangeAspect="1"/>
                    </pic:cNvPicPr>
                  </pic:nvPicPr>
                  <pic:blipFill>
                    <a:blip r:embed="rId64"/>
                    <a:stretch>
                      <a:fillRect/>
                    </a:stretch>
                  </pic:blipFill>
                  <pic:spPr>
                    <a:xfrm>
                      <a:off x="0" y="0"/>
                      <a:ext cx="2603114" cy="950804"/>
                    </a:xfrm>
                    <a:prstGeom prst="rect">
                      <a:avLst/>
                    </a:prstGeom>
                  </pic:spPr>
                </pic:pic>
              </a:graphicData>
            </a:graphic>
          </wp:inline>
        </w:drawing>
      </w:r>
    </w:p>
    <w:p>
      <w:pPr>
        <w:pStyle w:val="7"/>
        <w:ind w:firstLine="360"/>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46</w:t>
      </w:r>
      <w:r>
        <w:rPr>
          <w:rFonts w:ascii="Times New Roman" w:hAnsi="Times New Roman" w:cs="Times New Roman"/>
        </w:rPr>
        <w:fldChar w:fldCharType="end"/>
      </w:r>
      <w:r>
        <w:rPr>
          <w:rFonts w:ascii="Times New Roman" w:hAnsi="Times New Roman" w:cs="Times New Roman"/>
        </w:rPr>
        <w:t>各品牌充电站充电收费单价</w:t>
      </w:r>
    </w:p>
    <w:p>
      <w:pPr>
        <w:pStyle w:val="27"/>
        <w:jc w:val="center"/>
        <w:rPr>
          <w:rFonts w:cs="Times New Roman"/>
        </w:rPr>
      </w:pPr>
      <w:r>
        <w:rPr>
          <w:rFonts w:cs="Times New Roman"/>
        </w:rPr>
        <w:drawing>
          <wp:inline distT="0" distB="0" distL="0" distR="0">
            <wp:extent cx="2267585" cy="2181860"/>
            <wp:effectExtent l="0" t="0" r="0" b="0"/>
            <wp:docPr id="18152877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87778" name="图片 1"/>
                    <pic:cNvPicPr>
                      <a:picLocks noChangeAspect="1"/>
                    </pic:cNvPicPr>
                  </pic:nvPicPr>
                  <pic:blipFill>
                    <a:blip r:embed="rId65"/>
                    <a:stretch>
                      <a:fillRect/>
                    </a:stretch>
                  </pic:blipFill>
                  <pic:spPr>
                    <a:xfrm>
                      <a:off x="0" y="0"/>
                      <a:ext cx="2270798" cy="2185012"/>
                    </a:xfrm>
                    <a:prstGeom prst="rect">
                      <a:avLst/>
                    </a:prstGeom>
                  </pic:spPr>
                </pic:pic>
              </a:graphicData>
            </a:graphic>
          </wp:inline>
        </w:drawing>
      </w:r>
    </w:p>
    <w:p>
      <w:pPr>
        <w:pStyle w:val="7"/>
        <w:ind w:firstLine="360"/>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r>
        <w:rPr>
          <w:rFonts w:ascii="Times New Roman" w:hAnsi="Times New Roman" w:cs="Times New Roman"/>
        </w:rPr>
        <w:t>某品牌分时段充电收费单价</w:t>
      </w:r>
    </w:p>
    <w:p>
      <w:pPr>
        <w:pStyle w:val="4"/>
        <w:ind w:firstLine="643"/>
      </w:pPr>
      <w:bookmarkStart w:id="37" w:name="_Toc157760707"/>
      <w:r>
        <w:rPr>
          <w:rFonts w:hint="eastAsia"/>
        </w:rPr>
        <w:t>（四）</w:t>
      </w:r>
      <w:r>
        <w:t>充电速度慢影响使用效率，充电设备需升级</w:t>
      </w:r>
      <w:bookmarkEnd w:id="37"/>
    </w:p>
    <w:p>
      <w:pPr>
        <w:ind w:firstLine="640"/>
        <w:rPr>
          <w:rFonts w:eastAsia="仿宋_GB2312" w:cs="Times New Roman"/>
        </w:rPr>
      </w:pPr>
      <w:r>
        <w:rPr>
          <w:rFonts w:eastAsia="仿宋_GB2312" w:cs="Times New Roman"/>
        </w:rPr>
        <w:t>在电动汽车充电服务体验调查中，充电速度慢也是存在的问题之一。尽管市内已经建设了大量的充电设施，但是在充电时，车主们经常会遇到充电速度过慢的情况，导致充电时间变长，影响使用效率。这主要是由于充电设备采用的技术和功率不够高，无法满足现代电动汽车大功率充电的需求。另外，电动汽车的使用量快速增长，充电需求不断上升，难以完全匹配目前的充电设施和服务，也是导致充电速度慢的原因之一。</w:t>
      </w:r>
      <w:r>
        <w:rPr>
          <w:rFonts w:eastAsia="仿宋_GB2312" w:cs="Times New Roman"/>
        </w:rPr>
        <w:br w:type="page"/>
      </w:r>
    </w:p>
    <w:p>
      <w:pPr>
        <w:pStyle w:val="2"/>
        <w:spacing w:after="0" w:afterLines="0"/>
        <w:ind w:firstLine="0" w:firstLineChars="0"/>
        <w:rPr>
          <w:rFonts w:cs="Times New Roman"/>
        </w:rPr>
      </w:pPr>
      <w:bookmarkStart w:id="38" w:name="_Toc157760708"/>
      <w:r>
        <w:rPr>
          <w:rFonts w:cs="Times New Roman"/>
        </w:rPr>
        <w:t>第四部分：完善充电服务的意见建议</w:t>
      </w:r>
      <w:bookmarkEnd w:id="38"/>
    </w:p>
    <w:p>
      <w:pPr>
        <w:pStyle w:val="3"/>
        <w:spacing w:line="560" w:lineRule="exact"/>
        <w:ind w:firstLine="640"/>
        <w:rPr>
          <w:rFonts w:eastAsia="楷体_GB2312" w:cs="Times New Roman"/>
        </w:rPr>
      </w:pPr>
      <w:bookmarkStart w:id="39" w:name="_Toc157760709"/>
      <w:r>
        <w:rPr>
          <w:rFonts w:eastAsia="楷体_GB2312" w:cs="Times New Roman"/>
        </w:rPr>
        <w:t>一、解决桩源被占问题，减少充电资源浪费</w:t>
      </w:r>
      <w:bookmarkEnd w:id="39"/>
    </w:p>
    <w:p>
      <w:pPr>
        <w:ind w:firstLine="640"/>
        <w:rPr>
          <w:rFonts w:eastAsia="仿宋_GB2312" w:cs="Times New Roman"/>
        </w:rPr>
      </w:pPr>
      <w:r>
        <w:rPr>
          <w:rFonts w:eastAsia="仿宋_GB2312" w:cs="Times New Roman"/>
        </w:rPr>
        <w:t>本次调查发现，充电桩车位被占用已经成为存在的问题之一。为了解决这些问题，可以采取以下措施：一是在停车场地需要设置明显的充电位标识，方便新能源车车主找到可充电的车位。这不仅能帮助车主更快地找到合适的充电位，也可以一定程度上避免燃油车车主占位。二是通过应用智能化设施，例如智能地锁、闸机、视频监控等，可以在充电站入口处识别车辆是否为新能源车，对充完电车辆未及时离开的情况，采取超时占用费用等方式进行收费，避免严重的乱停乱占，减少充电资源的浪费，提升充电资源的利用效率。</w:t>
      </w:r>
    </w:p>
    <w:p>
      <w:pPr>
        <w:pStyle w:val="3"/>
        <w:spacing w:line="560" w:lineRule="exact"/>
        <w:ind w:firstLine="640"/>
        <w:rPr>
          <w:rFonts w:eastAsia="楷体_GB2312" w:cs="Times New Roman"/>
        </w:rPr>
      </w:pPr>
      <w:bookmarkStart w:id="40" w:name="_Toc157760710"/>
      <w:r>
        <w:rPr>
          <w:rFonts w:eastAsia="楷体_GB2312" w:cs="Times New Roman"/>
        </w:rPr>
        <w:t>二、</w:t>
      </w:r>
      <w:r>
        <w:rPr>
          <w:rFonts w:hint="eastAsia" w:eastAsia="楷体_GB2312" w:cs="Times New Roman"/>
        </w:rPr>
        <w:t>提供实时</w:t>
      </w:r>
      <w:r>
        <w:rPr>
          <w:rFonts w:eastAsia="楷体_GB2312" w:cs="Times New Roman"/>
        </w:rPr>
        <w:t>充电</w:t>
      </w:r>
      <w:r>
        <w:rPr>
          <w:rFonts w:hint="eastAsia" w:eastAsia="楷体_GB2312" w:cs="Times New Roman"/>
        </w:rPr>
        <w:t>情况</w:t>
      </w:r>
      <w:r>
        <w:rPr>
          <w:rFonts w:eastAsia="楷体_GB2312" w:cs="Times New Roman"/>
        </w:rPr>
        <w:t>，解决充电桩损坏问题</w:t>
      </w:r>
      <w:bookmarkEnd w:id="40"/>
    </w:p>
    <w:p>
      <w:pPr>
        <w:ind w:firstLine="640"/>
        <w:rPr>
          <w:rFonts w:eastAsia="仿宋_GB2312" w:cs="Times New Roman"/>
        </w:rPr>
      </w:pPr>
      <w:r>
        <w:rPr>
          <w:rFonts w:eastAsia="仿宋_GB2312" w:cs="Times New Roman"/>
        </w:rPr>
        <w:t>本次调查发现，</w:t>
      </w:r>
      <w:r>
        <w:rPr>
          <w:rFonts w:hint="eastAsia" w:eastAsia="仿宋_GB2312" w:cs="Times New Roman"/>
        </w:rPr>
        <w:t>受访者</w:t>
      </w:r>
      <w:r>
        <w:rPr>
          <w:rFonts w:eastAsia="仿宋_GB2312" w:cs="Times New Roman"/>
        </w:rPr>
        <w:t>在充电时遇到充电桩损坏或故障的情况较多。为解决上述问题，建议从以下方面采取措施：一是充电桩运营商通过互联网地图服务平台等多种渠道，及时发布公共停车场、加油站、公路沿线充电基础设施的设置状态以及实时使用情况，为公众提供实时、准确的信息查询服务，方便用户实时了解周边的充电桩实时情况，避免充电桩损坏不可以耽误时间，影响行程安排。二是对于充电桩损坏的情况，应及时安排</w:t>
      </w:r>
      <w:r>
        <w:rPr>
          <w:rFonts w:hint="eastAsia" w:eastAsia="仿宋_GB2312" w:cs="Times New Roman"/>
        </w:rPr>
        <w:t>维修</w:t>
      </w:r>
      <w:r>
        <w:rPr>
          <w:rFonts w:eastAsia="仿宋_GB2312" w:cs="Times New Roman"/>
        </w:rPr>
        <w:t>，消除安全隐患，保障充电基础设施设备技术完好、安全可用。三是开展定期维修和保养，修复故障和破损设备，及时报告和处理故障，确保充电桩的使用率和服务质量。</w:t>
      </w:r>
    </w:p>
    <w:p>
      <w:pPr>
        <w:pStyle w:val="3"/>
        <w:spacing w:line="560" w:lineRule="exact"/>
        <w:ind w:firstLine="640"/>
        <w:rPr>
          <w:rFonts w:eastAsia="楷体_GB2312" w:cs="Times New Roman"/>
        </w:rPr>
      </w:pPr>
      <w:bookmarkStart w:id="41" w:name="_Toc157760711"/>
      <w:r>
        <w:rPr>
          <w:rFonts w:eastAsia="楷体_GB2312" w:cs="Times New Roman"/>
        </w:rPr>
        <w:t>三、完善电价调控机制，推动充电单价标准化</w:t>
      </w:r>
      <w:bookmarkEnd w:id="41"/>
    </w:p>
    <w:p>
      <w:pPr>
        <w:ind w:firstLine="640"/>
        <w:rPr>
          <w:rFonts w:eastAsia="仿宋_GB2312" w:cs="Times New Roman"/>
          <w:color w:val="000000"/>
        </w:rPr>
      </w:pPr>
      <w:r>
        <w:rPr>
          <w:rFonts w:hint="eastAsia" w:eastAsia="仿宋_GB2312" w:cs="Times New Roman"/>
          <w:color w:val="000000"/>
        </w:rPr>
        <w:t>本次调查发现，消费者对充电价格满意度相对不高，且价格标准不统一，存在收取服务费和占位费等其他费用。针对以上问题，可以从以下方面采取措施：一是制定</w:t>
      </w:r>
      <w:r>
        <w:rPr>
          <w:rFonts w:hint="eastAsia" w:eastAsia="仿宋_GB2312" w:cs="Times New Roman"/>
          <w:color w:val="000000"/>
          <w:lang w:eastAsia="zh-CN"/>
        </w:rPr>
        <w:t>指导性</w:t>
      </w:r>
      <w:r>
        <w:rPr>
          <w:rFonts w:hint="eastAsia" w:eastAsia="仿宋_GB2312" w:cs="Times New Roman"/>
          <w:color w:val="000000"/>
        </w:rPr>
        <w:t>充电服务收费标准，建立透明的价格体系，使消费者更加了解实际充电费用成本和计费标准，降低用户对价格的猜测和质疑，提高收费的透明度和消费者信任度。二是加强价格监管，建立完善的价格监管机制和投诉处理渠道，及时响应投诉并做出决策，防止经营者恶意涨价，确保消费者的合法权益。三是对于用户使用充电桩时遇到的费用支付问题，如没有充电却扣费、重复扣费，通过行业监管及充电桩运营公司、充电停车场内部管理等手段加以解决。</w:t>
      </w:r>
    </w:p>
    <w:p>
      <w:pPr>
        <w:ind w:firstLine="640"/>
        <w:rPr>
          <w:rFonts w:eastAsia="仿宋_GB2312" w:cs="Times New Roman"/>
        </w:rPr>
      </w:pPr>
      <w:r>
        <w:rPr>
          <w:rFonts w:hint="eastAsia" w:eastAsia="仿宋_GB2312" w:cs="Times New Roman"/>
          <w:color w:val="000000"/>
        </w:rPr>
        <w:t>四是主管部门和行业协会还应该加强对充电桩运营公司的监管，鼓励和支持充电桩运营公司建立智能计费系统，提供多种充电方式的定价标准，以满足消费者不同的需求和促进充电服务的发展。同时，可以定期对充电桩检查和评估，以确保充电桩的安全性、稳定性和服务质量，同时发现和解决问题。</w:t>
      </w:r>
    </w:p>
    <w:p>
      <w:pPr>
        <w:pStyle w:val="3"/>
        <w:spacing w:line="560" w:lineRule="exact"/>
        <w:ind w:firstLine="640"/>
        <w:rPr>
          <w:rFonts w:eastAsia="楷体_GB2312" w:cs="Times New Roman"/>
        </w:rPr>
      </w:pPr>
      <w:bookmarkStart w:id="42" w:name="_Toc157760712"/>
      <w:r>
        <w:rPr>
          <w:rFonts w:eastAsia="楷体_GB2312" w:cs="Times New Roman"/>
        </w:rPr>
        <w:t>四、合理评估充电设施，科学布局充电桩建设</w:t>
      </w:r>
      <w:bookmarkEnd w:id="42"/>
    </w:p>
    <w:p>
      <w:pPr>
        <w:ind w:firstLine="640" w:firstLineChars="0"/>
        <w:rPr>
          <w:rFonts w:eastAsia="仿宋_GB2312" w:cs="Times New Roman"/>
          <w:sz w:val="28"/>
          <w:szCs w:val="21"/>
        </w:rPr>
      </w:pPr>
      <w:r>
        <w:rPr>
          <w:rFonts w:eastAsia="仿宋_GB2312" w:cs="Times New Roman"/>
        </w:rPr>
        <w:t>当前佛山市充电桩分布合理性及满意度均较高，但“找桩难”依然是突出问题，用户选择增加的服务中，地图导航的需求最高。为解决这一问题，建议从以下方面科学布局充电桩建设。一是建立全市范围内的充电桩动态监测和动态优化机制，根据充电桩使用情况和用户的需求，科学评估和调整充电桩的布局，避免少数区域过度集中，造成太多的供需矛盾。二是可以参考北京市的做法，以居住区外周边充电为主、居住区内公共充电为辅，提供设置在家门口的“类私桩”公共充电服务。力求实现“三个5”——“找桩距离不大于500米、服务费不高于0.5元、排队时间不长于5分钟”。三是推广新型增值服务，满足不同用户群体的升级需求。例如，开发智能充电驿站，集成卫生间、WiFi、食品等增值服务，满足用户在行程中的多样化服务需求。同时，针对老年人、残障人群的需求，添加身体舒适、充电便捷、智能化等特殊功能，提高用户使用功效，为用户提供更加舒适的服务体验。</w:t>
      </w:r>
      <w:bookmarkEnd w:id="8"/>
      <w:bookmarkStart w:id="44" w:name="_GoBack"/>
      <w:bookmarkEnd w:id="44"/>
    </w:p>
    <w:sectPr>
      <w:footerReference r:id="rId12"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5005452"/>
    </w:sdtPr>
    <w:sdtContent>
      <w:p>
        <w:pPr>
          <w:pStyle w:val="8"/>
          <w:ind w:firstLine="360"/>
          <w:jc w:val="center"/>
        </w:pPr>
        <w:bookmarkStart w:id="43" w:name="_Toc118381502"/>
        <w:bookmarkEnd w:id="43"/>
        <w:r>
          <w:fldChar w:fldCharType="begin"/>
        </w:r>
        <w:r>
          <w:instrText xml:space="preserve">PAGE   \* MERGEFORMAT</w:instrText>
        </w:r>
        <w:r>
          <w:fldChar w:fldCharType="separate"/>
        </w:r>
        <w:r>
          <w:rPr>
            <w:lang w:val="zh-CN"/>
          </w:rPr>
          <w:t>2</w:t>
        </w:r>
        <w:r>
          <w:fldChar w:fldCharType="end"/>
        </w:r>
      </w:p>
    </w:sdtContent>
  </w:sdt>
  <w:p>
    <w:pPr>
      <w:pStyle w:val="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jc w:val="center"/>
    </w:pPr>
    <w:r>
      <w:fldChar w:fldCharType="begin"/>
    </w:r>
    <w:r>
      <w:instrText xml:space="preserve">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2"/>
  </w:compat>
  <w:docVars>
    <w:docVar w:name="commondata" w:val="eyJoZGlkIjoiOGZhYzNiMjc2ZmYxODM2NTdiNDgyZTg5OGRhZmViMzIifQ=="/>
  </w:docVars>
  <w:rsids>
    <w:rsidRoot w:val="006953C6"/>
    <w:rsid w:val="00001512"/>
    <w:rsid w:val="000031D8"/>
    <w:rsid w:val="0000676A"/>
    <w:rsid w:val="000102CE"/>
    <w:rsid w:val="000236C8"/>
    <w:rsid w:val="000454D6"/>
    <w:rsid w:val="0004786C"/>
    <w:rsid w:val="000569AF"/>
    <w:rsid w:val="00062269"/>
    <w:rsid w:val="00077391"/>
    <w:rsid w:val="000816FC"/>
    <w:rsid w:val="000A6AF3"/>
    <w:rsid w:val="000D495C"/>
    <w:rsid w:val="000D4B9B"/>
    <w:rsid w:val="000F3574"/>
    <w:rsid w:val="00103A44"/>
    <w:rsid w:val="00126571"/>
    <w:rsid w:val="001633A2"/>
    <w:rsid w:val="001A5660"/>
    <w:rsid w:val="001B1B91"/>
    <w:rsid w:val="001D648A"/>
    <w:rsid w:val="001E15A7"/>
    <w:rsid w:val="001F12F1"/>
    <w:rsid w:val="00201DDF"/>
    <w:rsid w:val="00204576"/>
    <w:rsid w:val="0021077F"/>
    <w:rsid w:val="0022227F"/>
    <w:rsid w:val="00234E1E"/>
    <w:rsid w:val="0024177A"/>
    <w:rsid w:val="00242BA2"/>
    <w:rsid w:val="0025292B"/>
    <w:rsid w:val="0026768F"/>
    <w:rsid w:val="002744E8"/>
    <w:rsid w:val="00276A0B"/>
    <w:rsid w:val="002B2029"/>
    <w:rsid w:val="002C1055"/>
    <w:rsid w:val="002E6779"/>
    <w:rsid w:val="003012AD"/>
    <w:rsid w:val="00304C17"/>
    <w:rsid w:val="003332B5"/>
    <w:rsid w:val="0033531D"/>
    <w:rsid w:val="00354310"/>
    <w:rsid w:val="00360A17"/>
    <w:rsid w:val="00383BE3"/>
    <w:rsid w:val="00385AB4"/>
    <w:rsid w:val="003A3B80"/>
    <w:rsid w:val="003D0D15"/>
    <w:rsid w:val="003D73D6"/>
    <w:rsid w:val="004003E6"/>
    <w:rsid w:val="0044020A"/>
    <w:rsid w:val="004509D2"/>
    <w:rsid w:val="00481606"/>
    <w:rsid w:val="00491B50"/>
    <w:rsid w:val="00495550"/>
    <w:rsid w:val="004973F9"/>
    <w:rsid w:val="004A3B9D"/>
    <w:rsid w:val="004B68C7"/>
    <w:rsid w:val="004C7E66"/>
    <w:rsid w:val="004F26AE"/>
    <w:rsid w:val="00532009"/>
    <w:rsid w:val="00570D9E"/>
    <w:rsid w:val="00586C67"/>
    <w:rsid w:val="00596C18"/>
    <w:rsid w:val="005B4F4F"/>
    <w:rsid w:val="005B54BC"/>
    <w:rsid w:val="005D5EF0"/>
    <w:rsid w:val="005E39B9"/>
    <w:rsid w:val="0060353D"/>
    <w:rsid w:val="00607F2B"/>
    <w:rsid w:val="00613947"/>
    <w:rsid w:val="006437A8"/>
    <w:rsid w:val="00647E15"/>
    <w:rsid w:val="00651167"/>
    <w:rsid w:val="006515C1"/>
    <w:rsid w:val="00662CBF"/>
    <w:rsid w:val="00670F80"/>
    <w:rsid w:val="0069120B"/>
    <w:rsid w:val="006953C6"/>
    <w:rsid w:val="006C1771"/>
    <w:rsid w:val="006C51E5"/>
    <w:rsid w:val="006D4830"/>
    <w:rsid w:val="006D62BA"/>
    <w:rsid w:val="006F2653"/>
    <w:rsid w:val="00706130"/>
    <w:rsid w:val="007110E7"/>
    <w:rsid w:val="007112F2"/>
    <w:rsid w:val="00714DF6"/>
    <w:rsid w:val="0072088D"/>
    <w:rsid w:val="00741466"/>
    <w:rsid w:val="007444FE"/>
    <w:rsid w:val="007819F4"/>
    <w:rsid w:val="007958AC"/>
    <w:rsid w:val="007A2005"/>
    <w:rsid w:val="007B7446"/>
    <w:rsid w:val="007C3CA2"/>
    <w:rsid w:val="007E0212"/>
    <w:rsid w:val="00811239"/>
    <w:rsid w:val="00822D72"/>
    <w:rsid w:val="008322CD"/>
    <w:rsid w:val="00833FC8"/>
    <w:rsid w:val="00894B98"/>
    <w:rsid w:val="008958C8"/>
    <w:rsid w:val="008A08A7"/>
    <w:rsid w:val="008A61D6"/>
    <w:rsid w:val="008C112E"/>
    <w:rsid w:val="008D302B"/>
    <w:rsid w:val="00915913"/>
    <w:rsid w:val="00917E51"/>
    <w:rsid w:val="00921D0A"/>
    <w:rsid w:val="009600B5"/>
    <w:rsid w:val="0097260E"/>
    <w:rsid w:val="00985FC6"/>
    <w:rsid w:val="009E1E1C"/>
    <w:rsid w:val="009F74E0"/>
    <w:rsid w:val="00A062C5"/>
    <w:rsid w:val="00A10259"/>
    <w:rsid w:val="00A231ED"/>
    <w:rsid w:val="00A40572"/>
    <w:rsid w:val="00A80B55"/>
    <w:rsid w:val="00A9128A"/>
    <w:rsid w:val="00AC21D6"/>
    <w:rsid w:val="00AD3E4C"/>
    <w:rsid w:val="00AE3437"/>
    <w:rsid w:val="00AF0C68"/>
    <w:rsid w:val="00B45714"/>
    <w:rsid w:val="00B47F29"/>
    <w:rsid w:val="00B55A16"/>
    <w:rsid w:val="00B86EB4"/>
    <w:rsid w:val="00B96A15"/>
    <w:rsid w:val="00BA25B1"/>
    <w:rsid w:val="00BA3EF4"/>
    <w:rsid w:val="00BB5B8F"/>
    <w:rsid w:val="00BC1297"/>
    <w:rsid w:val="00BC38E5"/>
    <w:rsid w:val="00BF1F3B"/>
    <w:rsid w:val="00C00F31"/>
    <w:rsid w:val="00C13E5E"/>
    <w:rsid w:val="00C21BF5"/>
    <w:rsid w:val="00C27472"/>
    <w:rsid w:val="00C40EFA"/>
    <w:rsid w:val="00C45434"/>
    <w:rsid w:val="00C51A5F"/>
    <w:rsid w:val="00C53462"/>
    <w:rsid w:val="00C7775E"/>
    <w:rsid w:val="00C81446"/>
    <w:rsid w:val="00CC3672"/>
    <w:rsid w:val="00CD4E30"/>
    <w:rsid w:val="00D062B0"/>
    <w:rsid w:val="00D130D7"/>
    <w:rsid w:val="00D23B82"/>
    <w:rsid w:val="00D55C5B"/>
    <w:rsid w:val="00D84C4B"/>
    <w:rsid w:val="00D967B1"/>
    <w:rsid w:val="00DB3D63"/>
    <w:rsid w:val="00DC26A0"/>
    <w:rsid w:val="00DC3424"/>
    <w:rsid w:val="00DC4A16"/>
    <w:rsid w:val="00DC53C5"/>
    <w:rsid w:val="00DD1FB2"/>
    <w:rsid w:val="00DF34FF"/>
    <w:rsid w:val="00DF53D8"/>
    <w:rsid w:val="00E22644"/>
    <w:rsid w:val="00E40A8C"/>
    <w:rsid w:val="00E5472D"/>
    <w:rsid w:val="00E72A14"/>
    <w:rsid w:val="00E80AB5"/>
    <w:rsid w:val="00E811C3"/>
    <w:rsid w:val="00EA25F5"/>
    <w:rsid w:val="00EA487D"/>
    <w:rsid w:val="00EB1B41"/>
    <w:rsid w:val="00EC0E3D"/>
    <w:rsid w:val="00EC7DB6"/>
    <w:rsid w:val="00EE5634"/>
    <w:rsid w:val="00F162C3"/>
    <w:rsid w:val="00F17D9A"/>
    <w:rsid w:val="00F274A5"/>
    <w:rsid w:val="00F34924"/>
    <w:rsid w:val="00F450A1"/>
    <w:rsid w:val="00F56ED9"/>
    <w:rsid w:val="00F57DC3"/>
    <w:rsid w:val="00F87D83"/>
    <w:rsid w:val="00F91A12"/>
    <w:rsid w:val="00F96230"/>
    <w:rsid w:val="00FB0B5B"/>
    <w:rsid w:val="00FC4E70"/>
    <w:rsid w:val="00FC76FE"/>
    <w:rsid w:val="00FF4418"/>
    <w:rsid w:val="17BF2E75"/>
    <w:rsid w:val="1F7A720E"/>
    <w:rsid w:val="1F805184"/>
    <w:rsid w:val="23BCC24C"/>
    <w:rsid w:val="31F6BBDF"/>
    <w:rsid w:val="3ADE18BA"/>
    <w:rsid w:val="3BE7BBE0"/>
    <w:rsid w:val="3E9BB0C6"/>
    <w:rsid w:val="3FFE9373"/>
    <w:rsid w:val="4B7FD150"/>
    <w:rsid w:val="5BEF00F8"/>
    <w:rsid w:val="5D6F6DF0"/>
    <w:rsid w:val="5D75FD31"/>
    <w:rsid w:val="5F1EAB3D"/>
    <w:rsid w:val="5FF1C393"/>
    <w:rsid w:val="5FF7CE9E"/>
    <w:rsid w:val="63CA220B"/>
    <w:rsid w:val="65AB17AD"/>
    <w:rsid w:val="6BCBA2E6"/>
    <w:rsid w:val="6FBB00BF"/>
    <w:rsid w:val="6FF31F9F"/>
    <w:rsid w:val="77FF1CA3"/>
    <w:rsid w:val="79365A94"/>
    <w:rsid w:val="7A2D5DFB"/>
    <w:rsid w:val="7C573395"/>
    <w:rsid w:val="7D5E2590"/>
    <w:rsid w:val="7DEF1981"/>
    <w:rsid w:val="7F7F9DC6"/>
    <w:rsid w:val="A69F4A6B"/>
    <w:rsid w:val="A7EEA45E"/>
    <w:rsid w:val="AFEFEE5F"/>
    <w:rsid w:val="B5FD15E4"/>
    <w:rsid w:val="B7655A8F"/>
    <w:rsid w:val="BF5D4840"/>
    <w:rsid w:val="BFEDB951"/>
    <w:rsid w:val="BFFE496E"/>
    <w:rsid w:val="E57FAC2C"/>
    <w:rsid w:val="EFCFE9CD"/>
    <w:rsid w:val="EFD7069E"/>
    <w:rsid w:val="F367D295"/>
    <w:rsid w:val="F3FECD1C"/>
    <w:rsid w:val="F46DA805"/>
    <w:rsid w:val="F5FF897F"/>
    <w:rsid w:val="F7DDBB8A"/>
    <w:rsid w:val="F7FE63CC"/>
    <w:rsid w:val="F9DF896B"/>
    <w:rsid w:val="FBF60DF3"/>
    <w:rsid w:val="FBF7FCBB"/>
    <w:rsid w:val="FEB52944"/>
    <w:rsid w:val="FED31C3D"/>
    <w:rsid w:val="FEFF6674"/>
    <w:rsid w:val="FF70A614"/>
    <w:rsid w:val="FF9E3F7A"/>
    <w:rsid w:val="FFF7A7DA"/>
    <w:rsid w:val="FFFFA46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560" w:lineRule="exact"/>
      <w:ind w:firstLine="200" w:firstLineChars="200"/>
      <w:jc w:val="both"/>
    </w:pPr>
    <w:rPr>
      <w:rFonts w:ascii="Times New Roman" w:hAnsi="Times New Roman" w:eastAsia="仿宋" w:cstheme="minorBidi"/>
      <w:kern w:val="2"/>
      <w:sz w:val="32"/>
      <w:szCs w:val="22"/>
      <w:lang w:val="en-US" w:eastAsia="zh-CN" w:bidi="ar-SA"/>
    </w:rPr>
  </w:style>
  <w:style w:type="paragraph" w:styleId="2">
    <w:name w:val="heading 1"/>
    <w:basedOn w:val="1"/>
    <w:next w:val="1"/>
    <w:link w:val="22"/>
    <w:autoRedefine/>
    <w:qFormat/>
    <w:uiPriority w:val="9"/>
    <w:pPr>
      <w:keepNext/>
      <w:keepLines/>
      <w:spacing w:after="50" w:afterLines="50"/>
      <w:jc w:val="center"/>
      <w:outlineLvl w:val="0"/>
    </w:pPr>
    <w:rPr>
      <w:rFonts w:eastAsia="黑体"/>
      <w:b/>
      <w:bCs/>
      <w:kern w:val="44"/>
      <w:szCs w:val="44"/>
    </w:rPr>
  </w:style>
  <w:style w:type="paragraph" w:styleId="3">
    <w:name w:val="heading 2"/>
    <w:basedOn w:val="1"/>
    <w:next w:val="1"/>
    <w:link w:val="23"/>
    <w:autoRedefine/>
    <w:unhideWhenUsed/>
    <w:qFormat/>
    <w:uiPriority w:val="9"/>
    <w:pPr>
      <w:keepNext/>
      <w:keepLines/>
      <w:spacing w:line="415" w:lineRule="auto"/>
      <w:outlineLvl w:val="1"/>
    </w:pPr>
    <w:rPr>
      <w:rFonts w:eastAsia="楷体" w:cstheme="majorBidi"/>
      <w:b/>
      <w:bCs/>
      <w:szCs w:val="32"/>
    </w:rPr>
  </w:style>
  <w:style w:type="paragraph" w:styleId="4">
    <w:name w:val="heading 3"/>
    <w:basedOn w:val="1"/>
    <w:next w:val="1"/>
    <w:link w:val="25"/>
    <w:autoRedefine/>
    <w:unhideWhenUsed/>
    <w:qFormat/>
    <w:uiPriority w:val="9"/>
    <w:pPr>
      <w:keepNext/>
      <w:keepLines/>
      <w:spacing w:before="260" w:after="260" w:line="416" w:lineRule="auto"/>
      <w:outlineLvl w:val="2"/>
    </w:pPr>
    <w:rPr>
      <w:b/>
      <w:bCs/>
      <w:szCs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5">
    <w:name w:val="caption"/>
    <w:basedOn w:val="1"/>
    <w:next w:val="1"/>
    <w:autoRedefine/>
    <w:unhideWhenUsed/>
    <w:qFormat/>
    <w:uiPriority w:val="35"/>
    <w:pPr>
      <w:jc w:val="center"/>
    </w:pPr>
    <w:rPr>
      <w:rFonts w:eastAsia="楷体" w:cstheme="majorBidi"/>
      <w:b/>
      <w:sz w:val="24"/>
      <w:szCs w:val="20"/>
    </w:rPr>
  </w:style>
  <w:style w:type="paragraph" w:styleId="6">
    <w:name w:val="toc 3"/>
    <w:basedOn w:val="1"/>
    <w:next w:val="1"/>
    <w:autoRedefine/>
    <w:unhideWhenUsed/>
    <w:qFormat/>
    <w:uiPriority w:val="39"/>
    <w:pPr>
      <w:ind w:left="840" w:leftChars="400"/>
    </w:pPr>
  </w:style>
  <w:style w:type="paragraph" w:styleId="7">
    <w:name w:val="Plain Text"/>
    <w:basedOn w:val="1"/>
    <w:link w:val="21"/>
    <w:autoRedefine/>
    <w:qFormat/>
    <w:uiPriority w:val="0"/>
    <w:pPr>
      <w:ind w:firstLine="0" w:firstLineChars="0"/>
      <w:jc w:val="center"/>
    </w:pPr>
    <w:rPr>
      <w:rFonts w:ascii="宋体" w:hAnsi="Courier New" w:eastAsia="仿宋_GB2312" w:cs="Courier New"/>
      <w:kern w:val="0"/>
      <w:sz w:val="24"/>
      <w:szCs w:val="21"/>
    </w:rPr>
  </w:style>
  <w:style w:type="paragraph" w:styleId="8">
    <w:name w:val="footer"/>
    <w:basedOn w:val="1"/>
    <w:link w:val="20"/>
    <w:autoRedefine/>
    <w:unhideWhenUsed/>
    <w:qFormat/>
    <w:uiPriority w:val="99"/>
    <w:pPr>
      <w:tabs>
        <w:tab w:val="center" w:pos="4153"/>
        <w:tab w:val="right" w:pos="8306"/>
      </w:tabs>
      <w:snapToGrid w:val="0"/>
      <w:jc w:val="left"/>
    </w:pPr>
    <w:rPr>
      <w:sz w:val="18"/>
      <w:szCs w:val="18"/>
    </w:rPr>
  </w:style>
  <w:style w:type="paragraph" w:styleId="9">
    <w:name w:val="header"/>
    <w:basedOn w:val="1"/>
    <w:link w:val="19"/>
    <w:autoRedefine/>
    <w:unhideWhenUsed/>
    <w:qFormat/>
    <w:uiPriority w:val="99"/>
    <w:pPr>
      <w:tabs>
        <w:tab w:val="center" w:pos="4153"/>
        <w:tab w:val="right" w:pos="8306"/>
      </w:tabs>
      <w:snapToGrid w:val="0"/>
      <w:jc w:val="center"/>
    </w:pPr>
    <w:rPr>
      <w:sz w:val="18"/>
      <w:szCs w:val="18"/>
    </w:rPr>
  </w:style>
  <w:style w:type="paragraph" w:styleId="10">
    <w:name w:val="toc 1"/>
    <w:basedOn w:val="1"/>
    <w:next w:val="1"/>
    <w:autoRedefine/>
    <w:unhideWhenUsed/>
    <w:qFormat/>
    <w:uiPriority w:val="39"/>
  </w:style>
  <w:style w:type="paragraph" w:styleId="11">
    <w:name w:val="footnote text"/>
    <w:basedOn w:val="1"/>
    <w:link w:val="24"/>
    <w:autoRedefine/>
    <w:semiHidden/>
    <w:unhideWhenUsed/>
    <w:qFormat/>
    <w:uiPriority w:val="99"/>
    <w:pPr>
      <w:snapToGrid w:val="0"/>
      <w:jc w:val="left"/>
    </w:pPr>
    <w:rPr>
      <w:sz w:val="18"/>
      <w:szCs w:val="18"/>
    </w:rPr>
  </w:style>
  <w:style w:type="paragraph" w:styleId="12">
    <w:name w:val="toc 2"/>
    <w:basedOn w:val="1"/>
    <w:next w:val="1"/>
    <w:autoRedefine/>
    <w:unhideWhenUsed/>
    <w:qFormat/>
    <w:uiPriority w:val="39"/>
    <w:pPr>
      <w:ind w:left="420" w:leftChars="200"/>
    </w:pPr>
  </w:style>
  <w:style w:type="table" w:styleId="14">
    <w:name w:val="Table Grid"/>
    <w:basedOn w:val="13"/>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autoRedefine/>
    <w:qFormat/>
    <w:uiPriority w:val="22"/>
    <w:rPr>
      <w:b/>
    </w:rPr>
  </w:style>
  <w:style w:type="character" w:styleId="17">
    <w:name w:val="Hyperlink"/>
    <w:basedOn w:val="15"/>
    <w:autoRedefine/>
    <w:unhideWhenUsed/>
    <w:qFormat/>
    <w:uiPriority w:val="99"/>
    <w:rPr>
      <w:color w:val="0000FF" w:themeColor="hyperlink"/>
      <w:u w:val="single"/>
    </w:rPr>
  </w:style>
  <w:style w:type="character" w:styleId="18">
    <w:name w:val="footnote reference"/>
    <w:basedOn w:val="15"/>
    <w:autoRedefine/>
    <w:semiHidden/>
    <w:unhideWhenUsed/>
    <w:qFormat/>
    <w:uiPriority w:val="99"/>
    <w:rPr>
      <w:vertAlign w:val="superscript"/>
    </w:rPr>
  </w:style>
  <w:style w:type="character" w:customStyle="1" w:styleId="19">
    <w:name w:val="页眉 字符"/>
    <w:basedOn w:val="15"/>
    <w:link w:val="9"/>
    <w:autoRedefine/>
    <w:qFormat/>
    <w:uiPriority w:val="99"/>
    <w:rPr>
      <w:sz w:val="18"/>
      <w:szCs w:val="18"/>
    </w:rPr>
  </w:style>
  <w:style w:type="character" w:customStyle="1" w:styleId="20">
    <w:name w:val="页脚 字符"/>
    <w:basedOn w:val="15"/>
    <w:link w:val="8"/>
    <w:autoRedefine/>
    <w:qFormat/>
    <w:uiPriority w:val="99"/>
    <w:rPr>
      <w:sz w:val="18"/>
      <w:szCs w:val="18"/>
    </w:rPr>
  </w:style>
  <w:style w:type="character" w:customStyle="1" w:styleId="21">
    <w:name w:val="纯文本 字符"/>
    <w:basedOn w:val="15"/>
    <w:link w:val="7"/>
    <w:autoRedefine/>
    <w:qFormat/>
    <w:uiPriority w:val="0"/>
    <w:rPr>
      <w:rFonts w:ascii="宋体" w:hAnsi="Courier New" w:eastAsia="仿宋_GB2312" w:cs="Courier New"/>
      <w:kern w:val="0"/>
      <w:sz w:val="24"/>
      <w:szCs w:val="21"/>
    </w:rPr>
  </w:style>
  <w:style w:type="character" w:customStyle="1" w:styleId="22">
    <w:name w:val="标题 1 字符"/>
    <w:basedOn w:val="15"/>
    <w:link w:val="2"/>
    <w:autoRedefine/>
    <w:qFormat/>
    <w:uiPriority w:val="9"/>
    <w:rPr>
      <w:rFonts w:ascii="Times New Roman" w:hAnsi="Times New Roman" w:eastAsia="黑体"/>
      <w:b/>
      <w:bCs/>
      <w:kern w:val="44"/>
      <w:sz w:val="32"/>
      <w:szCs w:val="44"/>
    </w:rPr>
  </w:style>
  <w:style w:type="character" w:customStyle="1" w:styleId="23">
    <w:name w:val="标题 2 字符"/>
    <w:basedOn w:val="15"/>
    <w:link w:val="3"/>
    <w:autoRedefine/>
    <w:qFormat/>
    <w:uiPriority w:val="9"/>
    <w:rPr>
      <w:rFonts w:ascii="Times New Roman" w:hAnsi="Times New Roman" w:eastAsia="楷体" w:cstheme="majorBidi"/>
      <w:b/>
      <w:bCs/>
      <w:sz w:val="32"/>
      <w:szCs w:val="32"/>
    </w:rPr>
  </w:style>
  <w:style w:type="character" w:customStyle="1" w:styleId="24">
    <w:name w:val="脚注文本 字符"/>
    <w:basedOn w:val="15"/>
    <w:link w:val="11"/>
    <w:autoRedefine/>
    <w:semiHidden/>
    <w:qFormat/>
    <w:uiPriority w:val="99"/>
    <w:rPr>
      <w:rFonts w:ascii="Times New Roman" w:hAnsi="Times New Roman" w:eastAsia="仿宋"/>
      <w:sz w:val="18"/>
      <w:szCs w:val="18"/>
    </w:rPr>
  </w:style>
  <w:style w:type="character" w:customStyle="1" w:styleId="25">
    <w:name w:val="标题 3 字符"/>
    <w:basedOn w:val="15"/>
    <w:link w:val="4"/>
    <w:autoRedefine/>
    <w:qFormat/>
    <w:uiPriority w:val="9"/>
    <w:rPr>
      <w:rFonts w:ascii="Times New Roman" w:hAnsi="Times New Roman" w:eastAsia="仿宋"/>
      <w:b/>
      <w:bCs/>
      <w:sz w:val="32"/>
      <w:szCs w:val="32"/>
    </w:rPr>
  </w:style>
  <w:style w:type="paragraph" w:customStyle="1" w:styleId="26">
    <w:name w:val="TOC 标题1"/>
    <w:basedOn w:val="2"/>
    <w:next w:val="1"/>
    <w:autoRedefine/>
    <w:unhideWhenUsed/>
    <w:qFormat/>
    <w:uiPriority w:val="39"/>
    <w:pPr>
      <w:widowControl/>
      <w:spacing w:before="240" w:after="0" w:afterLines="0" w:line="259" w:lineRule="auto"/>
      <w:jc w:val="left"/>
      <w:outlineLvl w:val="9"/>
    </w:pPr>
    <w:rPr>
      <w:rFonts w:asciiTheme="majorHAnsi" w:hAnsiTheme="majorHAnsi" w:eastAsiaTheme="majorEastAsia" w:cstheme="majorBidi"/>
      <w:b w:val="0"/>
      <w:bCs w:val="0"/>
      <w:color w:val="366091" w:themeColor="accent1" w:themeShade="BF"/>
      <w:kern w:val="0"/>
      <w:szCs w:val="32"/>
    </w:rPr>
  </w:style>
  <w:style w:type="paragraph" w:customStyle="1" w:styleId="27">
    <w:name w:val="图"/>
    <w:basedOn w:val="1"/>
    <w:link w:val="28"/>
    <w:autoRedefine/>
    <w:qFormat/>
    <w:uiPriority w:val="0"/>
    <w:pPr>
      <w:spacing w:line="240" w:lineRule="auto"/>
      <w:ind w:firstLine="0" w:firstLineChars="0"/>
    </w:pPr>
  </w:style>
  <w:style w:type="character" w:customStyle="1" w:styleId="28">
    <w:name w:val="图 字符"/>
    <w:basedOn w:val="15"/>
    <w:link w:val="27"/>
    <w:autoRedefine/>
    <w:qFormat/>
    <w:uiPriority w:val="0"/>
    <w:rPr>
      <w:rFonts w:ascii="Times New Roman" w:hAnsi="Times New Roman" w:eastAsia="仿宋"/>
      <w:sz w:val="32"/>
    </w:rPr>
  </w:style>
  <w:style w:type="paragraph" w:styleId="29">
    <w:name w:val="List Paragraph"/>
    <w:basedOn w:val="1"/>
    <w:autoRedefine/>
    <w:qFormat/>
    <w:uiPriority w:val="34"/>
    <w:pPr>
      <w:ind w:firstLine="420"/>
    </w:pPr>
  </w:style>
  <w:style w:type="character" w:customStyle="1" w:styleId="30">
    <w:name w:val="font11"/>
    <w:basedOn w:val="15"/>
    <w:autoRedefine/>
    <w:qFormat/>
    <w:uiPriority w:val="0"/>
    <w:rPr>
      <w:rFonts w:hint="eastAsia" w:ascii="微软雅黑" w:hAnsi="微软雅黑" w:eastAsia="微软雅黑"/>
      <w:color w:val="000000"/>
      <w:sz w:val="24"/>
      <w:szCs w:val="24"/>
      <w:u w:val="none"/>
    </w:rPr>
  </w:style>
  <w:style w:type="character" w:customStyle="1" w:styleId="31">
    <w:name w:val="font21"/>
    <w:basedOn w:val="15"/>
    <w:autoRedefine/>
    <w:qFormat/>
    <w:uiPriority w:val="0"/>
    <w:rPr>
      <w:rFonts w:hint="default" w:ascii="Calibri" w:hAnsi="Calibri" w:cs="Calibri"/>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8" Type="http://schemas.openxmlformats.org/officeDocument/2006/relationships/fontTable" Target="fontTable.xml"/><Relationship Id="rId67" Type="http://schemas.openxmlformats.org/officeDocument/2006/relationships/customXml" Target="../customXml/item2.xml"/><Relationship Id="rId66" Type="http://schemas.openxmlformats.org/officeDocument/2006/relationships/customXml" Target="../customXml/item1.xml"/><Relationship Id="rId65" Type="http://schemas.openxmlformats.org/officeDocument/2006/relationships/image" Target="media/image11.png"/><Relationship Id="rId64" Type="http://schemas.openxmlformats.org/officeDocument/2006/relationships/image" Target="media/image10.png"/><Relationship Id="rId63" Type="http://schemas.openxmlformats.org/officeDocument/2006/relationships/image" Target="media/image9.png"/><Relationship Id="rId62" Type="http://schemas.openxmlformats.org/officeDocument/2006/relationships/image" Target="media/image8.png"/><Relationship Id="rId61" Type="http://schemas.openxmlformats.org/officeDocument/2006/relationships/image" Target="media/image7.png"/><Relationship Id="rId60" Type="http://schemas.openxmlformats.org/officeDocument/2006/relationships/image" Target="media/image6.jpeg"/><Relationship Id="rId6" Type="http://schemas.openxmlformats.org/officeDocument/2006/relationships/header" Target="header2.xml"/><Relationship Id="rId59" Type="http://schemas.openxmlformats.org/officeDocument/2006/relationships/image" Target="media/image5.png"/><Relationship Id="rId58" Type="http://schemas.openxmlformats.org/officeDocument/2006/relationships/image" Target="media/image4.png"/><Relationship Id="rId57" Type="http://schemas.openxmlformats.org/officeDocument/2006/relationships/image" Target="media/image3.png"/><Relationship Id="rId56" Type="http://schemas.openxmlformats.org/officeDocument/2006/relationships/image" Target="media/image2.png"/><Relationship Id="rId55" Type="http://schemas.openxmlformats.org/officeDocument/2006/relationships/chart" Target="charts/chart41.xml"/><Relationship Id="rId54" Type="http://schemas.openxmlformats.org/officeDocument/2006/relationships/chart" Target="charts/chart40.xml"/><Relationship Id="rId53" Type="http://schemas.openxmlformats.org/officeDocument/2006/relationships/chart" Target="charts/chart39.xml"/><Relationship Id="rId52" Type="http://schemas.openxmlformats.org/officeDocument/2006/relationships/chart" Target="charts/chart38.xml"/><Relationship Id="rId51" Type="http://schemas.openxmlformats.org/officeDocument/2006/relationships/chart" Target="charts/chart37.xml"/><Relationship Id="rId50" Type="http://schemas.openxmlformats.org/officeDocument/2006/relationships/chart" Target="charts/chart36.xml"/><Relationship Id="rId5" Type="http://schemas.openxmlformats.org/officeDocument/2006/relationships/header" Target="header1.xml"/><Relationship Id="rId49" Type="http://schemas.openxmlformats.org/officeDocument/2006/relationships/chart" Target="charts/chart35.xml"/><Relationship Id="rId48" Type="http://schemas.openxmlformats.org/officeDocument/2006/relationships/chart" Target="charts/chart34.xml"/><Relationship Id="rId47" Type="http://schemas.openxmlformats.org/officeDocument/2006/relationships/chart" Target="charts/chart33.xml"/><Relationship Id="rId46" Type="http://schemas.openxmlformats.org/officeDocument/2006/relationships/chart" Target="charts/chart32.xml"/><Relationship Id="rId45" Type="http://schemas.openxmlformats.org/officeDocument/2006/relationships/chart" Target="charts/chart31.xml"/><Relationship Id="rId44" Type="http://schemas.openxmlformats.org/officeDocument/2006/relationships/chart" Target="charts/chart30.xml"/><Relationship Id="rId43" Type="http://schemas.openxmlformats.org/officeDocument/2006/relationships/chart" Target="charts/chart29.xml"/><Relationship Id="rId42" Type="http://schemas.openxmlformats.org/officeDocument/2006/relationships/chart" Target="charts/chart28.xml"/><Relationship Id="rId41" Type="http://schemas.openxmlformats.org/officeDocument/2006/relationships/chart" Target="charts/chart27.xml"/><Relationship Id="rId40" Type="http://schemas.openxmlformats.org/officeDocument/2006/relationships/chart" Target="charts/chart26.xml"/><Relationship Id="rId4" Type="http://schemas.openxmlformats.org/officeDocument/2006/relationships/endnotes" Target="endnotes.xml"/><Relationship Id="rId39" Type="http://schemas.openxmlformats.org/officeDocument/2006/relationships/chart" Target="charts/chart25.xml"/><Relationship Id="rId38" Type="http://schemas.openxmlformats.org/officeDocument/2006/relationships/chart" Target="charts/chart24.xml"/><Relationship Id="rId37" Type="http://schemas.openxmlformats.org/officeDocument/2006/relationships/chart" Target="charts/chart23.xml"/><Relationship Id="rId36" Type="http://schemas.openxmlformats.org/officeDocument/2006/relationships/chart" Target="charts/chart22.xml"/><Relationship Id="rId35" Type="http://schemas.openxmlformats.org/officeDocument/2006/relationships/chart" Target="charts/chart21.xml"/><Relationship Id="rId34" Type="http://schemas.openxmlformats.org/officeDocument/2006/relationships/chart" Target="charts/chart20.xml"/><Relationship Id="rId33" Type="http://schemas.openxmlformats.org/officeDocument/2006/relationships/chart" Target="charts/chart19.xml"/><Relationship Id="rId32" Type="http://schemas.openxmlformats.org/officeDocument/2006/relationships/chart" Target="charts/chart18.xml"/><Relationship Id="rId31" Type="http://schemas.openxmlformats.org/officeDocument/2006/relationships/chart" Target="charts/chart17.xml"/><Relationship Id="rId30" Type="http://schemas.openxmlformats.org/officeDocument/2006/relationships/chart" Target="charts/chart16.xml"/><Relationship Id="rId3" Type="http://schemas.openxmlformats.org/officeDocument/2006/relationships/footnotes" Target="footnotes.xml"/><Relationship Id="rId29" Type="http://schemas.openxmlformats.org/officeDocument/2006/relationships/chart" Target="charts/chart15.xml"/><Relationship Id="rId28" Type="http://schemas.openxmlformats.org/officeDocument/2006/relationships/chart" Target="charts/chart14.xml"/><Relationship Id="rId27" Type="http://schemas.openxmlformats.org/officeDocument/2006/relationships/chart" Target="charts/chart13.xml"/><Relationship Id="rId26" Type="http://schemas.openxmlformats.org/officeDocument/2006/relationships/chart" Target="charts/chart12.xml"/><Relationship Id="rId25" Type="http://schemas.openxmlformats.org/officeDocument/2006/relationships/chart" Target="charts/chart11.xml"/><Relationship Id="rId24" Type="http://schemas.openxmlformats.org/officeDocument/2006/relationships/chart" Target="charts/chart10.xml"/><Relationship Id="rId23" Type="http://schemas.openxmlformats.org/officeDocument/2006/relationships/chart" Target="charts/chart9.xml"/><Relationship Id="rId22" Type="http://schemas.openxmlformats.org/officeDocument/2006/relationships/chart" Target="charts/chart8.xml"/><Relationship Id="rId21" Type="http://schemas.openxmlformats.org/officeDocument/2006/relationships/chart" Target="charts/chart7.xml"/><Relationship Id="rId20" Type="http://schemas.openxmlformats.org/officeDocument/2006/relationships/chart" Target="charts/chart6.xml"/><Relationship Id="rId2" Type="http://schemas.openxmlformats.org/officeDocument/2006/relationships/settings" Target="settings.xml"/><Relationship Id="rId19" Type="http://schemas.openxmlformats.org/officeDocument/2006/relationships/chart" Target="charts/chart5.xml"/><Relationship Id="rId18" Type="http://schemas.openxmlformats.org/officeDocument/2006/relationships/chart" Target="charts/chart4.xml"/><Relationship Id="rId17" Type="http://schemas.openxmlformats.org/officeDocument/2006/relationships/chart" Target="charts/chart3.xml"/><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10.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package" Target="../embeddings/Workbook10.xlsx"/></Relationships>
</file>

<file path=word/charts/_rels/chart11.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package" Target="../embeddings/Workbook11.xlsx"/></Relationships>
</file>

<file path=word/charts/_rels/chart12.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package" Target="../embeddings/Workbook12.xlsx"/></Relationships>
</file>

<file path=word/charts/_rels/chart13.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package" Target="../embeddings/Workbook13.xlsx"/></Relationships>
</file>

<file path=word/charts/_rels/chart14.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package" Target="../embeddings/Workbook14.xlsx"/></Relationships>
</file>

<file path=word/charts/_rels/chart15.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package" Target="../embeddings/Workbook15.xlsx"/></Relationships>
</file>

<file path=word/charts/_rels/chart16.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package" Target="../embeddings/Workbook16.xlsx"/></Relationships>
</file>

<file path=word/charts/_rels/chart17.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package" Target="../embeddings/Workbook17.xlsx"/></Relationships>
</file>

<file path=word/charts/_rels/chart18.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package" Target="../embeddings/Workbook18.xlsx"/></Relationships>
</file>

<file path=word/charts/_rels/chart19.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package" Target="../embeddings/Workbook19.xlsx"/></Relationships>
</file>

<file path=word/charts/_rels/chart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20.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package" Target="../embeddings/Workbook20.xlsx"/></Relationships>
</file>

<file path=word/charts/_rels/chart21.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package" Target="../embeddings/Workbook21.xlsx"/></Relationships>
</file>

<file path=word/charts/_rels/chart22.xml.rels><?xml version="1.0" encoding="UTF-8" standalone="yes"?>
<Relationships xmlns="http://schemas.openxmlformats.org/package/2006/relationships"><Relationship Id="rId3" Type="http://schemas.microsoft.com/office/2011/relationships/chartColorStyle" Target="colors22.xml"/><Relationship Id="rId2" Type="http://schemas.microsoft.com/office/2011/relationships/chartStyle" Target="style22.xml"/><Relationship Id="rId1" Type="http://schemas.openxmlformats.org/officeDocument/2006/relationships/package" Target="../embeddings/Workbook22.xlsx"/></Relationships>
</file>

<file path=word/charts/_rels/chart23.xml.rels><?xml version="1.0" encoding="UTF-8" standalone="yes"?>
<Relationships xmlns="http://schemas.openxmlformats.org/package/2006/relationships"><Relationship Id="rId3" Type="http://schemas.microsoft.com/office/2011/relationships/chartColorStyle" Target="colors23.xml"/><Relationship Id="rId2" Type="http://schemas.microsoft.com/office/2011/relationships/chartStyle" Target="style23.xml"/><Relationship Id="rId1" Type="http://schemas.openxmlformats.org/officeDocument/2006/relationships/package" Target="../embeddings/Workbook23.xlsx"/></Relationships>
</file>

<file path=word/charts/_rels/chart24.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package" Target="../embeddings/Workbook24.xlsx"/></Relationships>
</file>

<file path=word/charts/_rels/chart25.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package" Target="../embeddings/Workbook25.xlsx"/></Relationships>
</file>

<file path=word/charts/_rels/chart26.xml.rels><?xml version="1.0" encoding="UTF-8" standalone="yes"?>
<Relationships xmlns="http://schemas.openxmlformats.org/package/2006/relationships"><Relationship Id="rId3" Type="http://schemas.microsoft.com/office/2011/relationships/chartColorStyle" Target="colors26.xml"/><Relationship Id="rId2" Type="http://schemas.microsoft.com/office/2011/relationships/chartStyle" Target="style26.xml"/><Relationship Id="rId1" Type="http://schemas.openxmlformats.org/officeDocument/2006/relationships/package" Target="../embeddings/Workbook26.xlsx"/></Relationships>
</file>

<file path=word/charts/_rels/chart27.xml.rels><?xml version="1.0" encoding="UTF-8" standalone="yes"?>
<Relationships xmlns="http://schemas.openxmlformats.org/package/2006/relationships"><Relationship Id="rId3" Type="http://schemas.microsoft.com/office/2011/relationships/chartColorStyle" Target="colors27.xml"/><Relationship Id="rId2" Type="http://schemas.microsoft.com/office/2011/relationships/chartStyle" Target="style27.xml"/><Relationship Id="rId1" Type="http://schemas.openxmlformats.org/officeDocument/2006/relationships/package" Target="../embeddings/Workbook27.xlsx"/></Relationships>
</file>

<file path=word/charts/_rels/chart28.xml.rels><?xml version="1.0" encoding="UTF-8" standalone="yes"?>
<Relationships xmlns="http://schemas.openxmlformats.org/package/2006/relationships"><Relationship Id="rId3" Type="http://schemas.microsoft.com/office/2011/relationships/chartColorStyle" Target="colors28.xml"/><Relationship Id="rId2" Type="http://schemas.microsoft.com/office/2011/relationships/chartStyle" Target="style28.xml"/><Relationship Id="rId1" Type="http://schemas.openxmlformats.org/officeDocument/2006/relationships/package" Target="../embeddings/Workbook28.xlsx"/></Relationships>
</file>

<file path=word/charts/_rels/chart29.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package" Target="../embeddings/Workbook29.xlsx"/></Relationships>
</file>

<file path=word/charts/_rels/chart3.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30.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package" Target="../embeddings/Workbook30.xlsx"/></Relationships>
</file>

<file path=word/charts/_rels/chart31.xml.rels><?xml version="1.0" encoding="UTF-8" standalone="yes"?>
<Relationships xmlns="http://schemas.openxmlformats.org/package/2006/relationships"><Relationship Id="rId3" Type="http://schemas.microsoft.com/office/2011/relationships/chartColorStyle" Target="colors31.xml"/><Relationship Id="rId2" Type="http://schemas.microsoft.com/office/2011/relationships/chartStyle" Target="style31.xml"/><Relationship Id="rId1" Type="http://schemas.openxmlformats.org/officeDocument/2006/relationships/package" Target="../embeddings/Workbook31.xlsx"/></Relationships>
</file>

<file path=word/charts/_rels/chart32.xml.rels><?xml version="1.0" encoding="UTF-8" standalone="yes"?>
<Relationships xmlns="http://schemas.openxmlformats.org/package/2006/relationships"><Relationship Id="rId3" Type="http://schemas.microsoft.com/office/2011/relationships/chartColorStyle" Target="colors32.xml"/><Relationship Id="rId2" Type="http://schemas.microsoft.com/office/2011/relationships/chartStyle" Target="style32.xml"/><Relationship Id="rId1" Type="http://schemas.openxmlformats.org/officeDocument/2006/relationships/package" Target="../embeddings/Workbook32.xlsx"/></Relationships>
</file>

<file path=word/charts/_rels/chart33.xml.rels><?xml version="1.0" encoding="UTF-8" standalone="yes"?>
<Relationships xmlns="http://schemas.openxmlformats.org/package/2006/relationships"><Relationship Id="rId3" Type="http://schemas.microsoft.com/office/2011/relationships/chartColorStyle" Target="colors33.xml"/><Relationship Id="rId2" Type="http://schemas.microsoft.com/office/2011/relationships/chartStyle" Target="style33.xml"/><Relationship Id="rId1" Type="http://schemas.openxmlformats.org/officeDocument/2006/relationships/package" Target="../embeddings/Workbook33.xlsx"/></Relationships>
</file>

<file path=word/charts/_rels/chart34.xml.rels><?xml version="1.0" encoding="UTF-8" standalone="yes"?>
<Relationships xmlns="http://schemas.openxmlformats.org/package/2006/relationships"><Relationship Id="rId3" Type="http://schemas.microsoft.com/office/2011/relationships/chartColorStyle" Target="colors34.xml"/><Relationship Id="rId2" Type="http://schemas.microsoft.com/office/2011/relationships/chartStyle" Target="style34.xml"/><Relationship Id="rId1" Type="http://schemas.openxmlformats.org/officeDocument/2006/relationships/package" Target="../embeddings/Workbook34.xlsx"/></Relationships>
</file>

<file path=word/charts/_rels/chart35.xml.rels><?xml version="1.0" encoding="UTF-8" standalone="yes"?>
<Relationships xmlns="http://schemas.openxmlformats.org/package/2006/relationships"><Relationship Id="rId3" Type="http://schemas.microsoft.com/office/2011/relationships/chartColorStyle" Target="colors35.xml"/><Relationship Id="rId2" Type="http://schemas.microsoft.com/office/2011/relationships/chartStyle" Target="style35.xml"/><Relationship Id="rId1" Type="http://schemas.openxmlformats.org/officeDocument/2006/relationships/package" Target="../embeddings/Workbook35.xlsx"/></Relationships>
</file>

<file path=word/charts/_rels/chart36.xml.rels><?xml version="1.0" encoding="UTF-8" standalone="yes"?>
<Relationships xmlns="http://schemas.openxmlformats.org/package/2006/relationships"><Relationship Id="rId3" Type="http://schemas.microsoft.com/office/2011/relationships/chartColorStyle" Target="colors36.xml"/><Relationship Id="rId2" Type="http://schemas.microsoft.com/office/2011/relationships/chartStyle" Target="style36.xml"/><Relationship Id="rId1" Type="http://schemas.openxmlformats.org/officeDocument/2006/relationships/package" Target="../embeddings/Workbook36.xlsx"/></Relationships>
</file>

<file path=word/charts/_rels/chart37.xml.rels><?xml version="1.0" encoding="UTF-8" standalone="yes"?>
<Relationships xmlns="http://schemas.openxmlformats.org/package/2006/relationships"><Relationship Id="rId3" Type="http://schemas.microsoft.com/office/2011/relationships/chartColorStyle" Target="colors37.xml"/><Relationship Id="rId2" Type="http://schemas.microsoft.com/office/2011/relationships/chartStyle" Target="style37.xml"/><Relationship Id="rId1" Type="http://schemas.openxmlformats.org/officeDocument/2006/relationships/package" Target="../embeddings/Workbook37.xlsx"/></Relationships>
</file>

<file path=word/charts/_rels/chart38.xml.rels><?xml version="1.0" encoding="UTF-8" standalone="yes"?>
<Relationships xmlns="http://schemas.openxmlformats.org/package/2006/relationships"><Relationship Id="rId3" Type="http://schemas.microsoft.com/office/2011/relationships/chartColorStyle" Target="colors38.xml"/><Relationship Id="rId2" Type="http://schemas.microsoft.com/office/2011/relationships/chartStyle" Target="style38.xml"/><Relationship Id="rId1" Type="http://schemas.openxmlformats.org/officeDocument/2006/relationships/package" Target="../embeddings/Workbook38.xlsx"/></Relationships>
</file>

<file path=word/charts/_rels/chart39.xml.rels><?xml version="1.0" encoding="UTF-8" standalone="yes"?>
<Relationships xmlns="http://schemas.openxmlformats.org/package/2006/relationships"><Relationship Id="rId3" Type="http://schemas.microsoft.com/office/2011/relationships/chartColorStyle" Target="colors39.xml"/><Relationship Id="rId2" Type="http://schemas.microsoft.com/office/2011/relationships/chartStyle" Target="style39.xml"/><Relationship Id="rId1" Type="http://schemas.openxmlformats.org/officeDocument/2006/relationships/package" Target="../embeddings/Workbook39.xlsx"/></Relationships>
</file>

<file path=word/charts/_rels/chart4.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package" Target="../embeddings/Workbook8.xlsx"/></Relationships>
</file>

<file path=word/charts/_rels/chart40.xml.rels><?xml version="1.0" encoding="UTF-8" standalone="yes"?>
<Relationships xmlns="http://schemas.openxmlformats.org/package/2006/relationships"><Relationship Id="rId3" Type="http://schemas.microsoft.com/office/2011/relationships/chartColorStyle" Target="colors40.xml"/><Relationship Id="rId2" Type="http://schemas.microsoft.com/office/2011/relationships/chartStyle" Target="style40.xml"/><Relationship Id="rId1" Type="http://schemas.openxmlformats.org/officeDocument/2006/relationships/package" Target="../embeddings/Workbook40.xlsx"/></Relationships>
</file>

<file path=word/charts/_rels/chart41.xml.rels><?xml version="1.0" encoding="UTF-8" standalone="yes"?>
<Relationships xmlns="http://schemas.openxmlformats.org/package/2006/relationships"><Relationship Id="rId3" Type="http://schemas.microsoft.com/office/2011/relationships/chartColorStyle" Target="colors41.xml"/><Relationship Id="rId2" Type="http://schemas.microsoft.com/office/2011/relationships/chartStyle" Target="style41.xml"/><Relationship Id="rId1" Type="http://schemas.openxmlformats.org/officeDocument/2006/relationships/package" Target="../embeddings/Workbook41.xlsx"/></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7.xlsx"/></Relationships>
</file>

<file path=word/charts/_rels/chart8.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9.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package" Target="../embeddings/Workbook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列1</c:v>
                </c:pt>
              </c:strCache>
            </c:strRef>
          </c:tx>
          <c:spPr/>
          <c:explosion val="0"/>
          <c:dPt>
            <c:idx val="0"/>
            <c:bubble3D val="0"/>
            <c:spPr>
              <a:solidFill>
                <a:srgbClr val="548235"/>
              </a:solidFill>
              <a:ln w="19050">
                <a:solidFill>
                  <a:schemeClr val="lt1"/>
                </a:solidFill>
              </a:ln>
              <a:effectLst/>
            </c:spPr>
          </c:dPt>
          <c:dPt>
            <c:idx val="1"/>
            <c:bubble3D val="0"/>
            <c:spPr>
              <a:solidFill>
                <a:schemeClr val="accent6"/>
              </a:solidFill>
              <a:ln w="19050">
                <a:solidFill>
                  <a:schemeClr val="lt1"/>
                </a:solidFill>
              </a:ln>
              <a:effectLst/>
            </c:spPr>
          </c:dPt>
          <c:dLbls>
            <c:spPr>
              <a:solidFill>
                <a:schemeClr val="bg1"/>
              </a:solidFill>
              <a:ln>
                <a:solidFill>
                  <a:sysClr val="windowText" lastClr="000000">
                    <a:lumMod val="25000"/>
                    <a:lumOff val="75000"/>
                  </a:sysClr>
                </a:solidFill>
              </a:ln>
              <a:effectLst/>
            </c:spPr>
            <c:txPr>
              <a:bodyPr rot="0" spcFirstLastPara="1" vertOverflow="ellipsis" vert="horz" wrap="square" lIns="38100" tIns="19050" rIns="38100" bIns="19050" anchor="ctr" anchorCtr="1">
                <a:spAutoFit/>
              </a:bodyPr>
              <a:lstStyle/>
              <a:p>
                <a:pPr>
                  <a:defRPr lang="zh-CN" sz="900" b="0" i="0" u="none" strike="noStrike" kern="1200" baseline="0">
                    <a:ln>
                      <a:noFill/>
                    </a:ln>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男</c:v>
                </c:pt>
                <c:pt idx="1">
                  <c:v>女</c:v>
                </c:pt>
              </c:strCache>
            </c:strRef>
          </c:cat>
          <c:val>
            <c:numRef>
              <c:f>Sheet1!$B$2:$B$3</c:f>
              <c:numCache>
                <c:formatCode>###0.0</c:formatCode>
                <c:ptCount val="2"/>
                <c:pt idx="0">
                  <c:v>63.1333333333333</c:v>
                </c:pt>
                <c:pt idx="1">
                  <c:v>36.8666666666667</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97458455523"/>
          <c:y val="0.0198863636363636"/>
          <c:w val="0.485826001955034"/>
          <c:h val="0.941287878787879"/>
        </c:manualLayout>
      </c:layout>
      <c:doughnutChart>
        <c:varyColors val="1"/>
        <c:ser>
          <c:idx val="0"/>
          <c:order val="0"/>
          <c:tx>
            <c:strRef>
              <c:f>Sheet1!$B$1</c:f>
              <c:strCache>
                <c:ptCount val="1"/>
                <c:pt idx="0">
                  <c:v>列1</c:v>
                </c:pt>
              </c:strCache>
            </c:strRef>
          </c:tx>
          <c:spPr/>
          <c:explosion val="0"/>
          <c:dPt>
            <c:idx val="0"/>
            <c:bubble3D val="0"/>
            <c:spPr>
              <a:solidFill>
                <a:srgbClr val="548235"/>
              </a:solidFill>
              <a:ln w="19050">
                <a:solidFill>
                  <a:schemeClr val="lt1"/>
                </a:solidFill>
              </a:ln>
              <a:effectLst/>
            </c:spPr>
          </c:dPt>
          <c:dPt>
            <c:idx val="1"/>
            <c:bubble3D val="0"/>
            <c:spPr>
              <a:solidFill>
                <a:schemeClr val="accent3">
                  <a:lumMod val="60000"/>
                  <a:lumOff val="40000"/>
                </a:schemeClr>
              </a:solidFill>
              <a:ln w="19050">
                <a:solidFill>
                  <a:schemeClr val="lt1"/>
                </a:solidFill>
              </a:ln>
              <a:effectLst/>
            </c:spPr>
          </c:dPt>
          <c:dPt>
            <c:idx val="2"/>
            <c:bubble3D val="0"/>
            <c:spPr>
              <a:solidFill>
                <a:schemeClr val="accent6"/>
              </a:solidFill>
              <a:ln w="19050">
                <a:solidFill>
                  <a:schemeClr val="lt1"/>
                </a:solidFill>
              </a:ln>
              <a:effectLst/>
            </c:spPr>
          </c:dPt>
          <c:dPt>
            <c:idx val="3"/>
            <c:bubble3D val="0"/>
            <c:spPr>
              <a:solidFill>
                <a:schemeClr val="accent6">
                  <a:lumMod val="40000"/>
                  <a:lumOff val="60000"/>
                </a:schemeClr>
              </a:solidFill>
              <a:ln w="19050">
                <a:solidFill>
                  <a:schemeClr val="lt1"/>
                </a:solidFill>
              </a:ln>
              <a:effectLst/>
            </c:spPr>
          </c:dPt>
          <c:dLbls>
            <c:spPr>
              <a:solidFill>
                <a:schemeClr val="bg1"/>
              </a:solidFill>
              <a:ln>
                <a:solidFill>
                  <a:sysClr val="windowText" lastClr="000000">
                    <a:lumMod val="25000"/>
                    <a:lumOff val="75000"/>
                  </a:sysClr>
                </a:solidFill>
              </a:ln>
              <a:effectLst/>
            </c:spPr>
            <c:txPr>
              <a:bodyPr rot="0" spcFirstLastPara="1" vertOverflow="ellipsis" vert="horz" wrap="square" lIns="38100" tIns="19050" rIns="38100" bIns="19050" anchor="ctr" anchorCtr="1">
                <a:spAutoFit/>
              </a:bodyPr>
              <a:lstStyle/>
              <a:p>
                <a:pPr>
                  <a:defRPr lang="zh-CN" sz="900" b="0" i="0" u="none" strike="noStrike" kern="1200" baseline="0">
                    <a:ln>
                      <a:noFill/>
                    </a:ln>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按功率分段计费</c:v>
                </c:pt>
                <c:pt idx="1">
                  <c:v>分时间段收费</c:v>
                </c:pt>
                <c:pt idx="2">
                  <c:v>固定单价</c:v>
                </c:pt>
                <c:pt idx="3">
                  <c:v>按充电计费+服务费</c:v>
                </c:pt>
              </c:strCache>
            </c:strRef>
          </c:cat>
          <c:val>
            <c:numRef>
              <c:f>Sheet1!$B$2:$B$5</c:f>
              <c:numCache>
                <c:formatCode>###0.0</c:formatCode>
                <c:ptCount val="4"/>
                <c:pt idx="0">
                  <c:v>21</c:v>
                </c:pt>
                <c:pt idx="1">
                  <c:v>39.8333333333333</c:v>
                </c:pt>
                <c:pt idx="2">
                  <c:v>18.2333333333333</c:v>
                </c:pt>
                <c:pt idx="3">
                  <c:v>20.9333333333333</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25"/>
          <c:y val="0.0434439178515008"/>
          <c:w val="0.63648031496063"/>
          <c:h val="0.955794058351402"/>
        </c:manualLayout>
      </c:layout>
      <c:barChart>
        <c:barDir val="bar"/>
        <c:grouping val="clustered"/>
        <c:varyColors val="0"/>
        <c:ser>
          <c:idx val="0"/>
          <c:order val="0"/>
          <c:spPr>
            <a:solidFill>
              <a:srgbClr val="548235"/>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Sheet1!$A$1:$A$5</c:f>
              <c:strCache>
                <c:ptCount val="4"/>
                <c:pt idx="0">
                  <c:v>有一定优惠幅度</c:v>
                </c:pt>
                <c:pt idx="1">
                  <c:v>收停车占位费</c:v>
                </c:pt>
                <c:pt idx="2">
                  <c:v>按照停车场收费标准收取停车费</c:v>
                </c:pt>
                <c:pt idx="3">
                  <c:v>免收停车费</c:v>
                </c:pt>
              </c:strCache>
            </c:strRef>
          </c:cat>
          <c:val>
            <c:numRef>
              <c:f>Sheet1!$B$1:$B$5</c:f>
              <c:numCache>
                <c:formatCode>###0.0</c:formatCode>
                <c:ptCount val="4"/>
                <c:pt idx="0">
                  <c:v>12.7</c:v>
                </c:pt>
                <c:pt idx="1">
                  <c:v>23.3666666666667</c:v>
                </c:pt>
                <c:pt idx="2">
                  <c:v>24.8</c:v>
                </c:pt>
                <c:pt idx="3">
                  <c:v>39.1333333333333</c:v>
                </c:pt>
              </c:numCache>
            </c:numRef>
          </c:val>
        </c:ser>
        <c:dLbls>
          <c:showLegendKey val="0"/>
          <c:showVal val="1"/>
          <c:showCatName val="0"/>
          <c:showSerName val="0"/>
          <c:showPercent val="0"/>
          <c:showBubbleSize val="0"/>
        </c:dLbls>
        <c:gapWidth val="219"/>
        <c:axId val="362827783"/>
        <c:axId val="379634987"/>
      </c:barChart>
      <c:catAx>
        <c:axId val="362827783"/>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79634987"/>
        <c:crosses val="autoZero"/>
        <c:auto val="1"/>
        <c:lblAlgn val="ctr"/>
        <c:lblOffset val="100"/>
        <c:noMultiLvlLbl val="0"/>
      </c:catAx>
      <c:valAx>
        <c:axId val="379634987"/>
        <c:scaling>
          <c:orientation val="minMax"/>
        </c:scaling>
        <c:delete val="1"/>
        <c:axPos val="b"/>
        <c:numFmt formatCode="###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628277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仿宋_GB2312" panose="02010609030101010101" pitchFamily="3" charset="-122"/>
          <a:ea typeface="仿宋_GB2312" panose="02010609030101010101" pitchFamily="3" charset="-122"/>
        </a:defRPr>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75"/>
          <c:y val="0.0434439178515008"/>
          <c:w val="0.95148031496063"/>
          <c:h val="0.825359275742706"/>
        </c:manualLayout>
      </c:layout>
      <c:barChart>
        <c:barDir val="col"/>
        <c:grouping val="clustered"/>
        <c:varyColors val="0"/>
        <c:ser>
          <c:idx val="0"/>
          <c:order val="0"/>
          <c:tx>
            <c:strRef>
              <c:f>Sheet1!$B$1</c:f>
              <c:strCache>
                <c:ptCount val="1"/>
                <c:pt idx="0">
                  <c:v>1</c:v>
                </c:pt>
              </c:strCache>
            </c:strRef>
          </c:tx>
          <c:spPr>
            <a:solidFill>
              <a:srgbClr val="548235"/>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完全没影响</c:v>
                </c:pt>
                <c:pt idx="1">
                  <c:v>没影响</c:v>
                </c:pt>
                <c:pt idx="2">
                  <c:v>一般</c:v>
                </c:pt>
                <c:pt idx="3">
                  <c:v>有影响</c:v>
                </c:pt>
                <c:pt idx="4">
                  <c:v>非常有影响</c:v>
                </c:pt>
              </c:strCache>
            </c:strRef>
          </c:cat>
          <c:val>
            <c:numRef>
              <c:f>Sheet1!$B$2:$B$6</c:f>
              <c:numCache>
                <c:formatCode>###0.0</c:formatCode>
                <c:ptCount val="5"/>
                <c:pt idx="0">
                  <c:v>6.4</c:v>
                </c:pt>
                <c:pt idx="1">
                  <c:v>19.9666666666667</c:v>
                </c:pt>
                <c:pt idx="2">
                  <c:v>17</c:v>
                </c:pt>
                <c:pt idx="3">
                  <c:v>40.7</c:v>
                </c:pt>
                <c:pt idx="4">
                  <c:v>15.9333333333333</c:v>
                </c:pt>
              </c:numCache>
            </c:numRef>
          </c:val>
        </c:ser>
        <c:dLbls>
          <c:showLegendKey val="0"/>
          <c:showVal val="1"/>
          <c:showCatName val="0"/>
          <c:showSerName val="0"/>
          <c:showPercent val="0"/>
          <c:showBubbleSize val="0"/>
        </c:dLbls>
        <c:gapWidth val="219"/>
        <c:overlap val="-27"/>
        <c:axId val="362827783"/>
        <c:axId val="379634987"/>
      </c:barChart>
      <c:catAx>
        <c:axId val="36282778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79634987"/>
        <c:crosses val="autoZero"/>
        <c:auto val="1"/>
        <c:lblAlgn val="ctr"/>
        <c:lblOffset val="100"/>
        <c:noMultiLvlLbl val="0"/>
      </c:catAx>
      <c:valAx>
        <c:axId val="379634987"/>
        <c:scaling>
          <c:orientation val="minMax"/>
        </c:scaling>
        <c:delete val="1"/>
        <c:axPos val="l"/>
        <c:numFmt formatCode="###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628277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仿宋_GB2312" panose="02010609030101010101" pitchFamily="3" charset="-122"/>
          <a:ea typeface="仿宋_GB2312" panose="02010609030101010101" pitchFamily="3" charset="-122"/>
        </a:defRPr>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75"/>
          <c:y val="0.0434439178515008"/>
          <c:w val="0.95148031496063"/>
          <c:h val="0.825359275742706"/>
        </c:manualLayout>
      </c:layout>
      <c:barChart>
        <c:barDir val="col"/>
        <c:grouping val="clustered"/>
        <c:varyColors val="0"/>
        <c:ser>
          <c:idx val="0"/>
          <c:order val="0"/>
          <c:spPr>
            <a:solidFill>
              <a:srgbClr val="548235"/>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Sheet1!$A$1:$A$6</c:f>
              <c:strCache>
                <c:ptCount val="5"/>
                <c:pt idx="0">
                  <c:v>非常合理</c:v>
                </c:pt>
                <c:pt idx="1">
                  <c:v>比较合理</c:v>
                </c:pt>
                <c:pt idx="2">
                  <c:v>一般</c:v>
                </c:pt>
                <c:pt idx="3">
                  <c:v>不太合理</c:v>
                </c:pt>
                <c:pt idx="4">
                  <c:v>不合理</c:v>
                </c:pt>
              </c:strCache>
            </c:strRef>
          </c:cat>
          <c:val>
            <c:numRef>
              <c:f>Sheet1!$B$1:$B$6</c:f>
              <c:numCache>
                <c:formatCode>###0.0</c:formatCode>
                <c:ptCount val="5"/>
                <c:pt idx="0">
                  <c:v>22.4666666666667</c:v>
                </c:pt>
                <c:pt idx="1">
                  <c:v>53.6</c:v>
                </c:pt>
                <c:pt idx="2">
                  <c:v>20.1333333333333</c:v>
                </c:pt>
                <c:pt idx="3">
                  <c:v>3.33333333333333</c:v>
                </c:pt>
                <c:pt idx="4">
                  <c:v>0.466666666666667</c:v>
                </c:pt>
              </c:numCache>
            </c:numRef>
          </c:val>
        </c:ser>
        <c:dLbls>
          <c:showLegendKey val="0"/>
          <c:showVal val="1"/>
          <c:showCatName val="0"/>
          <c:showSerName val="0"/>
          <c:showPercent val="0"/>
          <c:showBubbleSize val="0"/>
        </c:dLbls>
        <c:gapWidth val="219"/>
        <c:overlap val="-27"/>
        <c:axId val="362827783"/>
        <c:axId val="379634987"/>
      </c:barChart>
      <c:catAx>
        <c:axId val="36282778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79634987"/>
        <c:crosses val="autoZero"/>
        <c:auto val="1"/>
        <c:lblAlgn val="ctr"/>
        <c:lblOffset val="100"/>
        <c:noMultiLvlLbl val="0"/>
      </c:catAx>
      <c:valAx>
        <c:axId val="379634987"/>
        <c:scaling>
          <c:orientation val="minMax"/>
        </c:scaling>
        <c:delete val="1"/>
        <c:axPos val="l"/>
        <c:numFmt formatCode="###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628277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仿宋_GB2312" panose="02010609030101010101" pitchFamily="3" charset="-122"/>
          <a:ea typeface="仿宋_GB2312" panose="02010609030101010101" pitchFamily="3" charset="-122"/>
        </a:defRPr>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75"/>
          <c:y val="0.0434439178515008"/>
          <c:w val="0.95148031496063"/>
          <c:h val="0.856236124642635"/>
        </c:manualLayout>
      </c:layout>
      <c:barChart>
        <c:barDir val="col"/>
        <c:grouping val="clustered"/>
        <c:varyColors val="0"/>
        <c:ser>
          <c:idx val="0"/>
          <c:order val="0"/>
          <c:tx>
            <c:strRef>
              <c:f>Sheet1!$B$1</c:f>
              <c:strCache>
                <c:ptCount val="1"/>
                <c:pt idx="0">
                  <c:v>1</c:v>
                </c:pt>
              </c:strCache>
            </c:strRef>
          </c:tx>
          <c:spPr>
            <a:solidFill>
              <a:srgbClr val="548235"/>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非常易懂</c:v>
                </c:pt>
                <c:pt idx="1">
                  <c:v>比较易懂</c:v>
                </c:pt>
                <c:pt idx="2">
                  <c:v>一般</c:v>
                </c:pt>
                <c:pt idx="3">
                  <c:v>不够清晰</c:v>
                </c:pt>
                <c:pt idx="4">
                  <c:v>很不清晰</c:v>
                </c:pt>
              </c:strCache>
            </c:strRef>
          </c:cat>
          <c:val>
            <c:numRef>
              <c:f>Sheet1!$B$2:$B$6</c:f>
              <c:numCache>
                <c:formatCode>###0.0</c:formatCode>
                <c:ptCount val="5"/>
                <c:pt idx="0">
                  <c:v>25.0333333333333</c:v>
                </c:pt>
                <c:pt idx="1">
                  <c:v>56.5666666666667</c:v>
                </c:pt>
                <c:pt idx="2">
                  <c:v>15.0333333333333</c:v>
                </c:pt>
                <c:pt idx="3">
                  <c:v>2.76666666666667</c:v>
                </c:pt>
                <c:pt idx="4">
                  <c:v>0.6</c:v>
                </c:pt>
              </c:numCache>
            </c:numRef>
          </c:val>
        </c:ser>
        <c:dLbls>
          <c:showLegendKey val="0"/>
          <c:showVal val="1"/>
          <c:showCatName val="0"/>
          <c:showSerName val="0"/>
          <c:showPercent val="0"/>
          <c:showBubbleSize val="0"/>
        </c:dLbls>
        <c:gapWidth val="219"/>
        <c:overlap val="-27"/>
        <c:axId val="362827783"/>
        <c:axId val="379634987"/>
      </c:barChart>
      <c:catAx>
        <c:axId val="36282778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79634987"/>
        <c:crosses val="autoZero"/>
        <c:auto val="1"/>
        <c:lblAlgn val="ctr"/>
        <c:lblOffset val="100"/>
        <c:noMultiLvlLbl val="0"/>
      </c:catAx>
      <c:valAx>
        <c:axId val="379634987"/>
        <c:scaling>
          <c:orientation val="minMax"/>
        </c:scaling>
        <c:delete val="1"/>
        <c:axPos val="l"/>
        <c:numFmt formatCode="###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628277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仿宋_GB2312" panose="02010609030101010101" pitchFamily="3" charset="-122"/>
          <a:ea typeface="仿宋_GB2312" panose="02010609030101010101" pitchFamily="3" charset="-122"/>
        </a:defRPr>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25"/>
          <c:y val="0.0434439178515008"/>
          <c:w val="0.69648031496063"/>
          <c:h val="0.936470386853817"/>
        </c:manualLayout>
      </c:layout>
      <c:barChart>
        <c:barDir val="bar"/>
        <c:grouping val="clustered"/>
        <c:varyColors val="0"/>
        <c:ser>
          <c:idx val="0"/>
          <c:order val="0"/>
          <c:spPr>
            <a:solidFill>
              <a:srgbClr val="548235"/>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无</c:v>
                </c:pt>
                <c:pt idx="1">
                  <c:v>很少，不能满足充电需求</c:v>
                </c:pt>
                <c:pt idx="2">
                  <c:v>刚好，能满足充电需求</c:v>
                </c:pt>
                <c:pt idx="3">
                  <c:v>很多，还有多余闲置的</c:v>
                </c:pt>
              </c:strCache>
            </c:strRef>
          </c:cat>
          <c:val>
            <c:numRef>
              <c:f>Sheet1!$B$2:$B$5</c:f>
              <c:numCache>
                <c:formatCode>###0.0</c:formatCode>
                <c:ptCount val="4"/>
                <c:pt idx="0">
                  <c:v>5.53333333333333</c:v>
                </c:pt>
                <c:pt idx="1">
                  <c:v>23.1666666666667</c:v>
                </c:pt>
                <c:pt idx="2">
                  <c:v>56</c:v>
                </c:pt>
                <c:pt idx="3">
                  <c:v>15.3</c:v>
                </c:pt>
              </c:numCache>
            </c:numRef>
          </c:val>
        </c:ser>
        <c:dLbls>
          <c:showLegendKey val="0"/>
          <c:showVal val="1"/>
          <c:showCatName val="0"/>
          <c:showSerName val="0"/>
          <c:showPercent val="0"/>
          <c:showBubbleSize val="0"/>
        </c:dLbls>
        <c:gapWidth val="219"/>
        <c:axId val="362827783"/>
        <c:axId val="379634987"/>
      </c:barChart>
      <c:catAx>
        <c:axId val="362827783"/>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79634987"/>
        <c:crosses val="autoZero"/>
        <c:auto val="1"/>
        <c:lblAlgn val="ctr"/>
        <c:lblOffset val="100"/>
        <c:noMultiLvlLbl val="0"/>
      </c:catAx>
      <c:valAx>
        <c:axId val="379634987"/>
        <c:scaling>
          <c:orientation val="minMax"/>
        </c:scaling>
        <c:delete val="1"/>
        <c:axPos val="b"/>
        <c:numFmt formatCode="###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628277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仿宋_GB2312" panose="02010609030101010101" pitchFamily="3" charset="-122"/>
          <a:ea typeface="仿宋_GB2312" panose="02010609030101010101" pitchFamily="3" charset="-122"/>
        </a:defRPr>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5"/>
          <c:y val="0.0143458304375387"/>
          <c:w val="0.76648031496063"/>
          <c:h val="0.9854665475254"/>
        </c:manualLayout>
      </c:layout>
      <c:barChart>
        <c:barDir val="bar"/>
        <c:grouping val="clustered"/>
        <c:varyColors val="0"/>
        <c:ser>
          <c:idx val="0"/>
          <c:order val="0"/>
          <c:spPr>
            <a:solidFill>
              <a:srgbClr val="548235"/>
            </a:solidFill>
            <a:ln>
              <a:noFill/>
            </a:ln>
            <a:effectLst/>
          </c:spPr>
          <c:invertIfNegative val="0"/>
          <c:dPt>
            <c:idx val="10"/>
            <c:invertIfNegative val="0"/>
            <c:bubble3D val="0"/>
            <c:spPr>
              <a:solidFill>
                <a:schemeClr val="accent6"/>
              </a:solidFill>
              <a:ln>
                <a:noFill/>
              </a:ln>
              <a:effectLst/>
            </c:spPr>
          </c:dPt>
          <c:dPt>
            <c:idx val="11"/>
            <c:invertIfNegative val="0"/>
            <c:bubble3D val="0"/>
            <c:spPr>
              <a:solidFill>
                <a:schemeClr val="accent6"/>
              </a:solidFill>
              <a:ln>
                <a:noFill/>
              </a:ln>
              <a:effectLst/>
            </c:spPr>
          </c:dPt>
          <c:dPt>
            <c:idx val="12"/>
            <c:invertIfNegative val="0"/>
            <c:bubble3D val="0"/>
            <c:spPr>
              <a:solidFill>
                <a:schemeClr val="accent6"/>
              </a:solidFill>
              <a:ln>
                <a:noFill/>
              </a:ln>
              <a:effectLst/>
            </c:spPr>
          </c:dPt>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旅游景区</c:v>
                </c:pt>
                <c:pt idx="1">
                  <c:v>文化艺术中心</c:v>
                </c:pt>
                <c:pt idx="2">
                  <c:v>物流园区</c:v>
                </c:pt>
                <c:pt idx="3">
                  <c:v>医院和学校</c:v>
                </c:pt>
                <c:pt idx="4">
                  <c:v>各大客运站</c:v>
                </c:pt>
                <c:pt idx="5">
                  <c:v>加油加气站</c:v>
                </c:pt>
                <c:pt idx="6">
                  <c:v>体育运动场馆</c:v>
                </c:pt>
                <c:pt idx="7">
                  <c:v>行政服务中心</c:v>
                </c:pt>
                <c:pt idx="8">
                  <c:v>高速公路服务区</c:v>
                </c:pt>
                <c:pt idx="9">
                  <c:v>社区服务中心</c:v>
                </c:pt>
                <c:pt idx="10">
                  <c:v>商业中心</c:v>
                </c:pt>
                <c:pt idx="11">
                  <c:v>公共停车场</c:v>
                </c:pt>
                <c:pt idx="12">
                  <c:v>居住小区</c:v>
                </c:pt>
              </c:strCache>
            </c:strRef>
          </c:cat>
          <c:val>
            <c:numRef>
              <c:f>Sheet1!$B$2:$B$14</c:f>
              <c:numCache>
                <c:formatCode>###0.0</c:formatCode>
                <c:ptCount val="13"/>
                <c:pt idx="0">
                  <c:v>13.2</c:v>
                </c:pt>
                <c:pt idx="1">
                  <c:v>15.0666666666667</c:v>
                </c:pt>
                <c:pt idx="2">
                  <c:v>20.1333333333333</c:v>
                </c:pt>
                <c:pt idx="3">
                  <c:v>22.8333333333333</c:v>
                </c:pt>
                <c:pt idx="4">
                  <c:v>26.1666666666667</c:v>
                </c:pt>
                <c:pt idx="5">
                  <c:v>27.3</c:v>
                </c:pt>
                <c:pt idx="6">
                  <c:v>27.5666666666667</c:v>
                </c:pt>
                <c:pt idx="7">
                  <c:v>30.1333333333333</c:v>
                </c:pt>
                <c:pt idx="8">
                  <c:v>32.1333333333333</c:v>
                </c:pt>
                <c:pt idx="9">
                  <c:v>35.7333333333333</c:v>
                </c:pt>
                <c:pt idx="10">
                  <c:v>40.8</c:v>
                </c:pt>
                <c:pt idx="11">
                  <c:v>46.5666666666667</c:v>
                </c:pt>
                <c:pt idx="12">
                  <c:v>50.2333333333333</c:v>
                </c:pt>
              </c:numCache>
            </c:numRef>
          </c:val>
        </c:ser>
        <c:dLbls>
          <c:showLegendKey val="0"/>
          <c:showVal val="1"/>
          <c:showCatName val="0"/>
          <c:showSerName val="0"/>
          <c:showPercent val="0"/>
          <c:showBubbleSize val="0"/>
        </c:dLbls>
        <c:gapWidth val="219"/>
        <c:axId val="362827783"/>
        <c:axId val="379634987"/>
      </c:barChart>
      <c:catAx>
        <c:axId val="362827783"/>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79634987"/>
        <c:crosses val="autoZero"/>
        <c:auto val="1"/>
        <c:lblAlgn val="ctr"/>
        <c:lblOffset val="100"/>
        <c:noMultiLvlLbl val="0"/>
      </c:catAx>
      <c:valAx>
        <c:axId val="379634987"/>
        <c:scaling>
          <c:orientation val="minMax"/>
        </c:scaling>
        <c:delete val="1"/>
        <c:axPos val="b"/>
        <c:numFmt formatCode="###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628277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仿宋_GB2312" panose="02010609030101010101" pitchFamily="3" charset="-122"/>
          <a:ea typeface="仿宋_GB2312" panose="02010609030101010101" pitchFamily="3" charset="-122"/>
        </a:defRPr>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5"/>
          <c:y val="0.0434439178515008"/>
          <c:w val="0.76648031496063"/>
          <c:h val="0.940695996229898"/>
        </c:manualLayout>
      </c:layout>
      <c:barChart>
        <c:barDir val="bar"/>
        <c:grouping val="clustered"/>
        <c:varyColors val="0"/>
        <c:ser>
          <c:idx val="0"/>
          <c:order val="0"/>
          <c:spPr>
            <a:solidFill>
              <a:srgbClr val="548235"/>
            </a:solidFill>
            <a:ln>
              <a:noFill/>
            </a:ln>
            <a:effectLst/>
          </c:spPr>
          <c:invertIfNegative val="0"/>
          <c:dPt>
            <c:idx val="7"/>
            <c:invertIfNegative val="0"/>
            <c:bubble3D val="0"/>
            <c:spPr>
              <a:solidFill>
                <a:schemeClr val="accent6">
                  <a:lumMod val="75000"/>
                </a:schemeClr>
              </a:solidFill>
              <a:ln>
                <a:noFill/>
              </a:ln>
              <a:effectLst/>
            </c:spPr>
          </c:dPt>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充电价格</c:v>
                </c:pt>
                <c:pt idx="1">
                  <c:v>售后服务</c:v>
                </c:pt>
                <c:pt idx="2">
                  <c:v>充电速度</c:v>
                </c:pt>
                <c:pt idx="3">
                  <c:v>充电桩分布</c:v>
                </c:pt>
                <c:pt idx="4">
                  <c:v>退款便利性</c:v>
                </c:pt>
                <c:pt idx="5">
                  <c:v>安全性</c:v>
                </c:pt>
                <c:pt idx="6">
                  <c:v>可操作性</c:v>
                </c:pt>
                <c:pt idx="7">
                  <c:v>整体满意度</c:v>
                </c:pt>
              </c:strCache>
            </c:strRef>
          </c:cat>
          <c:val>
            <c:numRef>
              <c:f>Sheet1!$B$2:$B$9</c:f>
              <c:numCache>
                <c:formatCode>0.0_ </c:formatCode>
                <c:ptCount val="8"/>
                <c:pt idx="0">
                  <c:v>78.88</c:v>
                </c:pt>
                <c:pt idx="1">
                  <c:v>79.2</c:v>
                </c:pt>
                <c:pt idx="2">
                  <c:v>79.6</c:v>
                </c:pt>
                <c:pt idx="3">
                  <c:v>79.6666666666666</c:v>
                </c:pt>
                <c:pt idx="4">
                  <c:v>80.02</c:v>
                </c:pt>
                <c:pt idx="5">
                  <c:v>80.3333333333334</c:v>
                </c:pt>
                <c:pt idx="6">
                  <c:v>80.7733333333334</c:v>
                </c:pt>
                <c:pt idx="7">
                  <c:v>80.1933333333334</c:v>
                </c:pt>
              </c:numCache>
            </c:numRef>
          </c:val>
        </c:ser>
        <c:dLbls>
          <c:showLegendKey val="0"/>
          <c:showVal val="1"/>
          <c:showCatName val="0"/>
          <c:showSerName val="0"/>
          <c:showPercent val="0"/>
          <c:showBubbleSize val="0"/>
        </c:dLbls>
        <c:gapWidth val="219"/>
        <c:axId val="362827783"/>
        <c:axId val="379634987"/>
      </c:barChart>
      <c:catAx>
        <c:axId val="362827783"/>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79634987"/>
        <c:crosses val="autoZero"/>
        <c:auto val="1"/>
        <c:lblAlgn val="ctr"/>
        <c:lblOffset val="100"/>
        <c:noMultiLvlLbl val="0"/>
      </c:catAx>
      <c:valAx>
        <c:axId val="379634987"/>
        <c:scaling>
          <c:orientation val="minMax"/>
        </c:scaling>
        <c:delete val="1"/>
        <c:axPos val="b"/>
        <c:numFmt formatCode="0.0_ "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628277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仿宋_GB2312" panose="02010609030101010101" pitchFamily="3" charset="-122"/>
          <a:ea typeface="仿宋_GB2312" panose="02010609030101010101" pitchFamily="3" charset="-122"/>
        </a:defRPr>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整体满意度</c:v>
                </c:pt>
              </c:strCache>
            </c:strRef>
          </c:tx>
          <c:spPr/>
          <c:explosion val="0"/>
          <c:dPt>
            <c:idx val="0"/>
            <c:bubble3D val="0"/>
            <c:spPr>
              <a:solidFill>
                <a:srgbClr val="548235"/>
              </a:solidFill>
              <a:ln w="19050">
                <a:solidFill>
                  <a:schemeClr val="lt1"/>
                </a:solidFill>
              </a:ln>
              <a:effectLst/>
            </c:spPr>
          </c:dPt>
          <c:dPt>
            <c:idx val="1"/>
            <c:bubble3D val="0"/>
            <c:spPr>
              <a:solidFill>
                <a:schemeClr val="accent3">
                  <a:lumMod val="60000"/>
                  <a:lumOff val="40000"/>
                </a:schemeClr>
              </a:solidFill>
              <a:ln w="19050">
                <a:solidFill>
                  <a:schemeClr val="lt1"/>
                </a:solidFill>
              </a:ln>
              <a:effectLst/>
            </c:spPr>
          </c:dPt>
          <c:dPt>
            <c:idx val="2"/>
            <c:bubble3D val="0"/>
            <c:spPr>
              <a:solidFill>
                <a:schemeClr val="accent6"/>
              </a:solidFill>
              <a:ln w="19050">
                <a:solidFill>
                  <a:schemeClr val="lt1"/>
                </a:solidFill>
              </a:ln>
              <a:effectLst/>
            </c:spPr>
          </c:dPt>
          <c:dPt>
            <c:idx val="3"/>
            <c:bubble3D val="0"/>
            <c:spPr>
              <a:solidFill>
                <a:schemeClr val="accent6">
                  <a:lumMod val="40000"/>
                  <a:lumOff val="60000"/>
                </a:schemeClr>
              </a:solidFill>
              <a:ln w="19050">
                <a:solidFill>
                  <a:schemeClr val="lt1"/>
                </a:solidFill>
              </a:ln>
              <a:effectLst/>
            </c:spPr>
          </c:dPt>
          <c:dPt>
            <c:idx val="4"/>
            <c:bubble3D val="0"/>
            <c:spPr>
              <a:solidFill>
                <a:schemeClr val="bg1">
                  <a:lumMod val="75000"/>
                </a:schemeClr>
              </a:solidFill>
              <a:ln w="19050">
                <a:solidFill>
                  <a:schemeClr val="lt1"/>
                </a:solidFill>
              </a:ln>
              <a:effectLst/>
            </c:spPr>
          </c:dPt>
          <c:dLbls>
            <c:spPr>
              <a:solidFill>
                <a:schemeClr val="bg1"/>
              </a:solidFill>
              <a:ln>
                <a:solidFill>
                  <a:sysClr val="windowText" lastClr="000000">
                    <a:lumMod val="25000"/>
                    <a:lumOff val="75000"/>
                  </a:sysClr>
                </a:solidFill>
              </a:ln>
              <a:effectLst/>
            </c:spPr>
            <c:txPr>
              <a:bodyPr rot="0" spcFirstLastPara="1" vertOverflow="ellipsis" vert="horz" wrap="square" lIns="38100" tIns="19050" rIns="38100" bIns="19050" anchor="ctr" anchorCtr="1">
                <a:spAutoFit/>
              </a:bodyPr>
              <a:lstStyle/>
              <a:p>
                <a:pPr>
                  <a:defRPr lang="zh-CN" sz="900" b="0" i="0" u="none" strike="noStrike" kern="1200" baseline="0">
                    <a:ln>
                      <a:noFill/>
                    </a:ln>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非常满意</c:v>
                </c:pt>
                <c:pt idx="1">
                  <c:v>比较满意</c:v>
                </c:pt>
                <c:pt idx="2">
                  <c:v>一般</c:v>
                </c:pt>
                <c:pt idx="3">
                  <c:v>比较不满意</c:v>
                </c:pt>
                <c:pt idx="4">
                  <c:v>非常不满意</c:v>
                </c:pt>
              </c:strCache>
            </c:strRef>
          </c:cat>
          <c:val>
            <c:numRef>
              <c:f>Sheet1!$B$2:$B$6</c:f>
              <c:numCache>
                <c:formatCode>0.0_ </c:formatCode>
                <c:ptCount val="5"/>
                <c:pt idx="0">
                  <c:v>26.2</c:v>
                </c:pt>
                <c:pt idx="1">
                  <c:v>52.6</c:v>
                </c:pt>
                <c:pt idx="2">
                  <c:v>17.8</c:v>
                </c:pt>
                <c:pt idx="3">
                  <c:v>2.76666666666667</c:v>
                </c:pt>
                <c:pt idx="4">
                  <c:v>0.633333333333333</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充电桩分布</c:v>
                </c:pt>
              </c:strCache>
            </c:strRef>
          </c:tx>
          <c:spPr/>
          <c:explosion val="0"/>
          <c:dPt>
            <c:idx val="0"/>
            <c:bubble3D val="0"/>
            <c:spPr>
              <a:solidFill>
                <a:srgbClr val="548235"/>
              </a:solidFill>
              <a:ln w="19050">
                <a:solidFill>
                  <a:schemeClr val="lt1"/>
                </a:solidFill>
              </a:ln>
              <a:effectLst/>
            </c:spPr>
          </c:dPt>
          <c:dPt>
            <c:idx val="1"/>
            <c:bubble3D val="0"/>
            <c:spPr>
              <a:solidFill>
                <a:schemeClr val="accent3">
                  <a:lumMod val="60000"/>
                  <a:lumOff val="40000"/>
                </a:schemeClr>
              </a:solidFill>
              <a:ln w="19050">
                <a:solidFill>
                  <a:schemeClr val="lt1"/>
                </a:solidFill>
              </a:ln>
              <a:effectLst/>
            </c:spPr>
          </c:dPt>
          <c:dPt>
            <c:idx val="2"/>
            <c:bubble3D val="0"/>
            <c:spPr>
              <a:solidFill>
                <a:schemeClr val="accent6"/>
              </a:solidFill>
              <a:ln w="19050">
                <a:solidFill>
                  <a:schemeClr val="lt1"/>
                </a:solidFill>
              </a:ln>
              <a:effectLst/>
            </c:spPr>
          </c:dPt>
          <c:dPt>
            <c:idx val="3"/>
            <c:bubble3D val="0"/>
            <c:spPr>
              <a:solidFill>
                <a:schemeClr val="accent6">
                  <a:lumMod val="40000"/>
                  <a:lumOff val="60000"/>
                </a:schemeClr>
              </a:solidFill>
              <a:ln w="19050">
                <a:solidFill>
                  <a:schemeClr val="lt1"/>
                </a:solidFill>
              </a:ln>
              <a:effectLst/>
            </c:spPr>
          </c:dPt>
          <c:dPt>
            <c:idx val="4"/>
            <c:bubble3D val="0"/>
            <c:spPr>
              <a:solidFill>
                <a:schemeClr val="bg1">
                  <a:lumMod val="75000"/>
                </a:schemeClr>
              </a:solidFill>
              <a:ln w="19050">
                <a:solidFill>
                  <a:schemeClr val="lt1"/>
                </a:solidFill>
              </a:ln>
              <a:effectLst/>
            </c:spPr>
          </c:dPt>
          <c:dLbls>
            <c:spPr>
              <a:solidFill>
                <a:schemeClr val="bg1"/>
              </a:solidFill>
              <a:ln>
                <a:solidFill>
                  <a:sysClr val="windowText" lastClr="000000">
                    <a:lumMod val="25000"/>
                    <a:lumOff val="75000"/>
                  </a:sysClr>
                </a:solidFill>
              </a:ln>
              <a:effectLst/>
            </c:spPr>
            <c:txPr>
              <a:bodyPr rot="0" spcFirstLastPara="1" vertOverflow="ellipsis" vert="horz" wrap="square" lIns="38100" tIns="19050" rIns="38100" bIns="19050" anchor="ctr" anchorCtr="1">
                <a:spAutoFit/>
              </a:bodyPr>
              <a:lstStyle/>
              <a:p>
                <a:pPr>
                  <a:defRPr lang="zh-CN" sz="900" b="0" i="0" u="none" strike="noStrike" kern="1200" baseline="0">
                    <a:ln>
                      <a:noFill/>
                    </a:ln>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非常满意</c:v>
                </c:pt>
                <c:pt idx="1">
                  <c:v>比较满意</c:v>
                </c:pt>
                <c:pt idx="2">
                  <c:v>一般</c:v>
                </c:pt>
                <c:pt idx="3">
                  <c:v>比较不满意</c:v>
                </c:pt>
                <c:pt idx="4">
                  <c:v>非常不满意</c:v>
                </c:pt>
              </c:strCache>
            </c:strRef>
          </c:cat>
          <c:val>
            <c:numRef>
              <c:f>Sheet1!$B$2:$B$6</c:f>
              <c:numCache>
                <c:formatCode>0.0_ </c:formatCode>
                <c:ptCount val="5"/>
                <c:pt idx="0">
                  <c:v>24.0666666666667</c:v>
                </c:pt>
                <c:pt idx="1">
                  <c:v>55.1333333333333</c:v>
                </c:pt>
                <c:pt idx="2">
                  <c:v>16.5333333333333</c:v>
                </c:pt>
                <c:pt idx="3">
                  <c:v>3.6</c:v>
                </c:pt>
                <c:pt idx="4">
                  <c:v>0.666666666666667</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列1</c:v>
                </c:pt>
              </c:strCache>
            </c:strRef>
          </c:tx>
          <c:spPr/>
          <c:explosion val="0"/>
          <c:dPt>
            <c:idx val="0"/>
            <c:bubble3D val="0"/>
            <c:spPr>
              <a:solidFill>
                <a:srgbClr val="548235"/>
              </a:solidFill>
              <a:ln w="19050">
                <a:solidFill>
                  <a:schemeClr val="lt1"/>
                </a:solidFill>
              </a:ln>
              <a:effectLst/>
            </c:spPr>
          </c:dPt>
          <c:dPt>
            <c:idx val="1"/>
            <c:bubble3D val="0"/>
            <c:spPr>
              <a:solidFill>
                <a:schemeClr val="accent3">
                  <a:lumMod val="60000"/>
                  <a:lumOff val="40000"/>
                </a:schemeClr>
              </a:solidFill>
              <a:ln w="19050">
                <a:solidFill>
                  <a:schemeClr val="lt1"/>
                </a:solidFill>
              </a:ln>
              <a:effectLst/>
            </c:spPr>
          </c:dPt>
          <c:dPt>
            <c:idx val="2"/>
            <c:bubble3D val="0"/>
            <c:spPr>
              <a:solidFill>
                <a:schemeClr val="accent6"/>
              </a:solidFill>
              <a:ln w="19050">
                <a:solidFill>
                  <a:schemeClr val="lt1"/>
                </a:solidFill>
              </a:ln>
              <a:effectLst/>
            </c:spPr>
          </c:dPt>
          <c:dPt>
            <c:idx val="3"/>
            <c:bubble3D val="0"/>
            <c:spPr>
              <a:solidFill>
                <a:schemeClr val="accent6">
                  <a:lumMod val="40000"/>
                  <a:lumOff val="60000"/>
                </a:schemeClr>
              </a:solidFill>
              <a:ln w="19050">
                <a:solidFill>
                  <a:schemeClr val="lt1"/>
                </a:solidFill>
              </a:ln>
              <a:effectLst/>
            </c:spPr>
          </c:dPt>
          <c:dPt>
            <c:idx val="4"/>
            <c:bubble3D val="0"/>
            <c:spPr>
              <a:solidFill>
                <a:schemeClr val="bg1">
                  <a:lumMod val="75000"/>
                </a:schemeClr>
              </a:solidFill>
              <a:ln w="19050">
                <a:solidFill>
                  <a:schemeClr val="lt1"/>
                </a:solidFill>
              </a:ln>
              <a:effectLst/>
            </c:spPr>
          </c:dPt>
          <c:dPt>
            <c:idx val="5"/>
            <c:bubble3D val="0"/>
            <c:spPr>
              <a:solidFill>
                <a:schemeClr val="accent6"/>
              </a:solidFill>
              <a:ln w="19050">
                <a:solidFill>
                  <a:schemeClr val="lt1"/>
                </a:solidFill>
              </a:ln>
              <a:effectLst/>
            </c:spPr>
          </c:dPt>
          <c:dLbls>
            <c:dLbl>
              <c:idx val="4"/>
              <c:layout>
                <c:manualLayout>
                  <c:x val="0.153958944281525"/>
                  <c:y val="-0.0568181818181818"/>
                </c:manualLayout>
              </c:layout>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0.0684261974584556"/>
                  <c:y val="-0.127840909090909"/>
                </c:manualLayout>
              </c:layout>
              <c:showLegendKey val="0"/>
              <c:showVal val="1"/>
              <c:showCatName val="1"/>
              <c:showSerName val="0"/>
              <c:showPercent val="0"/>
              <c:showBubbleSize val="0"/>
              <c:extLst>
                <c:ext xmlns:c15="http://schemas.microsoft.com/office/drawing/2012/chart" uri="{CE6537A1-D6FC-4f65-9D91-7224C49458BB}">
                  <c15:layout/>
                </c:ext>
              </c:extLst>
            </c:dLbl>
            <c:spPr>
              <a:solidFill>
                <a:schemeClr val="bg1"/>
              </a:solidFill>
              <a:ln>
                <a:solidFill>
                  <a:sysClr val="windowText" lastClr="000000">
                    <a:lumMod val="25000"/>
                    <a:lumOff val="75000"/>
                  </a:sysClr>
                </a:solidFill>
              </a:ln>
              <a:effectLst/>
            </c:spPr>
            <c:txPr>
              <a:bodyPr rot="0" spcFirstLastPara="1" vertOverflow="ellipsis" vert="horz" wrap="square" lIns="38100" tIns="19050" rIns="38100" bIns="19050" anchor="ctr" anchorCtr="1">
                <a:spAutoFit/>
              </a:bodyPr>
              <a:lstStyle/>
              <a:p>
                <a:pPr>
                  <a:defRPr lang="zh-CN" sz="900" b="0" i="0" u="none" strike="noStrike" kern="1200" baseline="0">
                    <a:ln>
                      <a:noFill/>
                    </a:ln>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18-29岁</c:v>
                </c:pt>
                <c:pt idx="1">
                  <c:v>30-39岁</c:v>
                </c:pt>
                <c:pt idx="2">
                  <c:v>40-49岁</c:v>
                </c:pt>
                <c:pt idx="3">
                  <c:v>50-59岁</c:v>
                </c:pt>
                <c:pt idx="4">
                  <c:v>60-69岁</c:v>
                </c:pt>
                <c:pt idx="5">
                  <c:v>70岁以上</c:v>
                </c:pt>
              </c:strCache>
            </c:strRef>
          </c:cat>
          <c:val>
            <c:numRef>
              <c:f>Sheet1!$B$2:$B$7</c:f>
              <c:numCache>
                <c:formatCode>###0.0</c:formatCode>
                <c:ptCount val="6"/>
                <c:pt idx="0">
                  <c:v>15.8666666666667</c:v>
                </c:pt>
                <c:pt idx="1">
                  <c:v>49.4333333333333</c:v>
                </c:pt>
                <c:pt idx="2">
                  <c:v>23.1</c:v>
                </c:pt>
                <c:pt idx="3">
                  <c:v>9.03333333333333</c:v>
                </c:pt>
                <c:pt idx="4">
                  <c:v>2.46666666666667</c:v>
                </c:pt>
                <c:pt idx="5">
                  <c:v>0.1</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充电价格</c:v>
                </c:pt>
              </c:strCache>
            </c:strRef>
          </c:tx>
          <c:spPr/>
          <c:explosion val="0"/>
          <c:dPt>
            <c:idx val="0"/>
            <c:bubble3D val="0"/>
            <c:spPr>
              <a:solidFill>
                <a:srgbClr val="548235"/>
              </a:solidFill>
              <a:ln w="19050">
                <a:solidFill>
                  <a:schemeClr val="lt1"/>
                </a:solidFill>
              </a:ln>
              <a:effectLst/>
            </c:spPr>
          </c:dPt>
          <c:dPt>
            <c:idx val="1"/>
            <c:bubble3D val="0"/>
            <c:spPr>
              <a:solidFill>
                <a:schemeClr val="accent3">
                  <a:lumMod val="60000"/>
                  <a:lumOff val="40000"/>
                </a:schemeClr>
              </a:solidFill>
              <a:ln w="19050">
                <a:solidFill>
                  <a:schemeClr val="lt1"/>
                </a:solidFill>
              </a:ln>
              <a:effectLst/>
            </c:spPr>
          </c:dPt>
          <c:dPt>
            <c:idx val="2"/>
            <c:bubble3D val="0"/>
            <c:spPr>
              <a:solidFill>
                <a:schemeClr val="accent6"/>
              </a:solidFill>
              <a:ln w="19050">
                <a:solidFill>
                  <a:schemeClr val="lt1"/>
                </a:solidFill>
              </a:ln>
              <a:effectLst/>
            </c:spPr>
          </c:dPt>
          <c:dPt>
            <c:idx val="3"/>
            <c:bubble3D val="0"/>
            <c:spPr>
              <a:solidFill>
                <a:schemeClr val="accent6">
                  <a:lumMod val="40000"/>
                  <a:lumOff val="60000"/>
                </a:schemeClr>
              </a:solidFill>
              <a:ln w="19050">
                <a:solidFill>
                  <a:schemeClr val="lt1"/>
                </a:solidFill>
              </a:ln>
              <a:effectLst/>
            </c:spPr>
          </c:dPt>
          <c:dPt>
            <c:idx val="4"/>
            <c:bubble3D val="0"/>
            <c:spPr>
              <a:solidFill>
                <a:schemeClr val="bg1">
                  <a:lumMod val="75000"/>
                </a:schemeClr>
              </a:solidFill>
              <a:ln w="19050">
                <a:solidFill>
                  <a:schemeClr val="lt1"/>
                </a:solidFill>
              </a:ln>
              <a:effectLst/>
            </c:spPr>
          </c:dPt>
          <c:dLbls>
            <c:spPr>
              <a:solidFill>
                <a:schemeClr val="bg1"/>
              </a:solidFill>
              <a:ln>
                <a:solidFill>
                  <a:sysClr val="windowText" lastClr="000000">
                    <a:lumMod val="25000"/>
                    <a:lumOff val="75000"/>
                  </a:sysClr>
                </a:solidFill>
              </a:ln>
              <a:effectLst/>
            </c:spPr>
            <c:txPr>
              <a:bodyPr rot="0" spcFirstLastPara="1" vertOverflow="ellipsis" vert="horz" wrap="square" lIns="38100" tIns="19050" rIns="38100" bIns="19050" anchor="ctr" anchorCtr="1">
                <a:spAutoFit/>
              </a:bodyPr>
              <a:lstStyle/>
              <a:p>
                <a:pPr>
                  <a:defRPr lang="zh-CN" sz="900" b="0" i="0" u="none" strike="noStrike" kern="1200" baseline="0">
                    <a:ln>
                      <a:noFill/>
                    </a:ln>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非常满意</c:v>
                </c:pt>
                <c:pt idx="1">
                  <c:v>比较满意</c:v>
                </c:pt>
                <c:pt idx="2">
                  <c:v>一般</c:v>
                </c:pt>
                <c:pt idx="3">
                  <c:v>比较不满意</c:v>
                </c:pt>
                <c:pt idx="4">
                  <c:v>非常不满意</c:v>
                </c:pt>
              </c:strCache>
            </c:strRef>
          </c:cat>
          <c:val>
            <c:numRef>
              <c:f>Sheet1!$B$2:$B$6</c:f>
              <c:numCache>
                <c:formatCode>0.0_ </c:formatCode>
                <c:ptCount val="5"/>
                <c:pt idx="0">
                  <c:v>27.0666666666667</c:v>
                </c:pt>
                <c:pt idx="1">
                  <c:v>46.9333333333333</c:v>
                </c:pt>
                <c:pt idx="2">
                  <c:v>19.9333333333333</c:v>
                </c:pt>
                <c:pt idx="3">
                  <c:v>5.46666666666667</c:v>
                </c:pt>
                <c:pt idx="4">
                  <c:v>0.6</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充电速度</c:v>
                </c:pt>
              </c:strCache>
            </c:strRef>
          </c:tx>
          <c:spPr/>
          <c:explosion val="0"/>
          <c:dPt>
            <c:idx val="0"/>
            <c:bubble3D val="0"/>
            <c:spPr>
              <a:solidFill>
                <a:srgbClr val="548235"/>
              </a:solidFill>
              <a:ln w="19050">
                <a:solidFill>
                  <a:schemeClr val="lt1"/>
                </a:solidFill>
              </a:ln>
              <a:effectLst/>
            </c:spPr>
          </c:dPt>
          <c:dPt>
            <c:idx val="1"/>
            <c:bubble3D val="0"/>
            <c:spPr>
              <a:solidFill>
                <a:schemeClr val="accent3">
                  <a:lumMod val="60000"/>
                  <a:lumOff val="40000"/>
                </a:schemeClr>
              </a:solidFill>
              <a:ln w="19050">
                <a:solidFill>
                  <a:schemeClr val="lt1"/>
                </a:solidFill>
              </a:ln>
              <a:effectLst/>
            </c:spPr>
          </c:dPt>
          <c:dPt>
            <c:idx val="2"/>
            <c:bubble3D val="0"/>
            <c:spPr>
              <a:solidFill>
                <a:schemeClr val="accent6"/>
              </a:solidFill>
              <a:ln w="19050">
                <a:solidFill>
                  <a:schemeClr val="lt1"/>
                </a:solidFill>
              </a:ln>
              <a:effectLst/>
            </c:spPr>
          </c:dPt>
          <c:dPt>
            <c:idx val="3"/>
            <c:bubble3D val="0"/>
            <c:spPr>
              <a:solidFill>
                <a:schemeClr val="accent6">
                  <a:lumMod val="40000"/>
                  <a:lumOff val="60000"/>
                </a:schemeClr>
              </a:solidFill>
              <a:ln w="19050">
                <a:solidFill>
                  <a:schemeClr val="lt1"/>
                </a:solidFill>
              </a:ln>
              <a:effectLst/>
            </c:spPr>
          </c:dPt>
          <c:dPt>
            <c:idx val="4"/>
            <c:bubble3D val="0"/>
            <c:spPr>
              <a:solidFill>
                <a:schemeClr val="bg1">
                  <a:lumMod val="75000"/>
                </a:schemeClr>
              </a:solidFill>
              <a:ln w="19050">
                <a:solidFill>
                  <a:schemeClr val="lt1"/>
                </a:solidFill>
              </a:ln>
              <a:effectLst/>
            </c:spPr>
          </c:dPt>
          <c:dLbls>
            <c:spPr>
              <a:solidFill>
                <a:schemeClr val="bg1"/>
              </a:solidFill>
              <a:ln>
                <a:solidFill>
                  <a:sysClr val="windowText" lastClr="000000">
                    <a:lumMod val="25000"/>
                    <a:lumOff val="75000"/>
                  </a:sysClr>
                </a:solidFill>
              </a:ln>
              <a:effectLst/>
            </c:spPr>
            <c:txPr>
              <a:bodyPr rot="0" spcFirstLastPara="1" vertOverflow="ellipsis" vert="horz" wrap="square" lIns="38100" tIns="19050" rIns="38100" bIns="19050" anchor="ctr" anchorCtr="1">
                <a:spAutoFit/>
              </a:bodyPr>
              <a:lstStyle/>
              <a:p>
                <a:pPr>
                  <a:defRPr lang="zh-CN" sz="900" b="0" i="0" u="none" strike="noStrike" kern="1200" baseline="0">
                    <a:ln>
                      <a:noFill/>
                    </a:ln>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非常满意</c:v>
                </c:pt>
                <c:pt idx="1">
                  <c:v>比较满意</c:v>
                </c:pt>
                <c:pt idx="2">
                  <c:v>一般</c:v>
                </c:pt>
                <c:pt idx="3">
                  <c:v>比较不满意</c:v>
                </c:pt>
                <c:pt idx="4">
                  <c:v>非常不满意</c:v>
                </c:pt>
              </c:strCache>
            </c:strRef>
          </c:cat>
          <c:val>
            <c:numRef>
              <c:f>Sheet1!$B$2:$B$6</c:f>
              <c:numCache>
                <c:formatCode>0.0_ </c:formatCode>
                <c:ptCount val="5"/>
                <c:pt idx="0">
                  <c:v>26.2666666666667</c:v>
                </c:pt>
                <c:pt idx="1">
                  <c:v>49.7333333333333</c:v>
                </c:pt>
                <c:pt idx="2">
                  <c:v>20.4</c:v>
                </c:pt>
                <c:pt idx="3">
                  <c:v>2.93333333333333</c:v>
                </c:pt>
                <c:pt idx="4">
                  <c:v>0.666666666666667</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安全性</c:v>
                </c:pt>
              </c:strCache>
            </c:strRef>
          </c:tx>
          <c:spPr/>
          <c:explosion val="0"/>
          <c:dPt>
            <c:idx val="0"/>
            <c:bubble3D val="0"/>
            <c:spPr>
              <a:solidFill>
                <a:srgbClr val="548235"/>
              </a:solidFill>
              <a:ln w="19050">
                <a:solidFill>
                  <a:schemeClr val="lt1"/>
                </a:solidFill>
              </a:ln>
              <a:effectLst/>
            </c:spPr>
          </c:dPt>
          <c:dPt>
            <c:idx val="1"/>
            <c:bubble3D val="0"/>
            <c:spPr>
              <a:solidFill>
                <a:schemeClr val="accent3">
                  <a:lumMod val="60000"/>
                  <a:lumOff val="40000"/>
                </a:schemeClr>
              </a:solidFill>
              <a:ln w="19050">
                <a:solidFill>
                  <a:schemeClr val="lt1"/>
                </a:solidFill>
              </a:ln>
              <a:effectLst/>
            </c:spPr>
          </c:dPt>
          <c:dPt>
            <c:idx val="2"/>
            <c:bubble3D val="0"/>
            <c:spPr>
              <a:solidFill>
                <a:schemeClr val="accent6"/>
              </a:solidFill>
              <a:ln w="19050">
                <a:solidFill>
                  <a:schemeClr val="lt1"/>
                </a:solidFill>
              </a:ln>
              <a:effectLst/>
            </c:spPr>
          </c:dPt>
          <c:dPt>
            <c:idx val="3"/>
            <c:bubble3D val="0"/>
            <c:spPr>
              <a:solidFill>
                <a:schemeClr val="accent6">
                  <a:lumMod val="40000"/>
                  <a:lumOff val="60000"/>
                </a:schemeClr>
              </a:solidFill>
              <a:ln w="19050">
                <a:solidFill>
                  <a:schemeClr val="lt1"/>
                </a:solidFill>
              </a:ln>
              <a:effectLst/>
            </c:spPr>
          </c:dPt>
          <c:dPt>
            <c:idx val="4"/>
            <c:bubble3D val="0"/>
            <c:spPr>
              <a:solidFill>
                <a:schemeClr val="bg1">
                  <a:lumMod val="75000"/>
                </a:schemeClr>
              </a:solidFill>
              <a:ln w="19050">
                <a:solidFill>
                  <a:schemeClr val="lt1"/>
                </a:solidFill>
              </a:ln>
              <a:effectLst/>
            </c:spPr>
          </c:dPt>
          <c:dLbls>
            <c:spPr>
              <a:solidFill>
                <a:schemeClr val="bg1"/>
              </a:solidFill>
              <a:ln>
                <a:solidFill>
                  <a:sysClr val="windowText" lastClr="000000">
                    <a:lumMod val="25000"/>
                    <a:lumOff val="75000"/>
                  </a:sysClr>
                </a:solidFill>
              </a:ln>
              <a:effectLst/>
            </c:spPr>
            <c:txPr>
              <a:bodyPr rot="0" spcFirstLastPara="1" vertOverflow="ellipsis" vert="horz" wrap="square" lIns="38100" tIns="19050" rIns="38100" bIns="19050" anchor="ctr" anchorCtr="1">
                <a:spAutoFit/>
              </a:bodyPr>
              <a:lstStyle/>
              <a:p>
                <a:pPr>
                  <a:defRPr lang="zh-CN" sz="900" b="0" i="0" u="none" strike="noStrike" kern="1200" baseline="0">
                    <a:ln>
                      <a:noFill/>
                    </a:ln>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非常满意</c:v>
                </c:pt>
                <c:pt idx="1">
                  <c:v>比较满意</c:v>
                </c:pt>
                <c:pt idx="2">
                  <c:v>一般</c:v>
                </c:pt>
                <c:pt idx="3">
                  <c:v>比较不满意</c:v>
                </c:pt>
                <c:pt idx="4">
                  <c:v>非常不满意</c:v>
                </c:pt>
              </c:strCache>
            </c:strRef>
          </c:cat>
          <c:val>
            <c:numRef>
              <c:f>Sheet1!$B$2:$B$6</c:f>
              <c:numCache>
                <c:formatCode>0.0_ </c:formatCode>
                <c:ptCount val="5"/>
                <c:pt idx="0">
                  <c:v>27.2</c:v>
                </c:pt>
                <c:pt idx="1">
                  <c:v>51</c:v>
                </c:pt>
                <c:pt idx="2">
                  <c:v>18.4666666666667</c:v>
                </c:pt>
                <c:pt idx="3">
                  <c:v>2.93333333333333</c:v>
                </c:pt>
                <c:pt idx="4">
                  <c:v>0.4</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可操作性</c:v>
                </c:pt>
              </c:strCache>
            </c:strRef>
          </c:tx>
          <c:spPr/>
          <c:explosion val="0"/>
          <c:dPt>
            <c:idx val="0"/>
            <c:bubble3D val="0"/>
            <c:spPr>
              <a:solidFill>
                <a:srgbClr val="548235"/>
              </a:solidFill>
              <a:ln w="19050">
                <a:solidFill>
                  <a:schemeClr val="lt1"/>
                </a:solidFill>
              </a:ln>
              <a:effectLst/>
            </c:spPr>
          </c:dPt>
          <c:dPt>
            <c:idx val="1"/>
            <c:bubble3D val="0"/>
            <c:spPr>
              <a:solidFill>
                <a:schemeClr val="accent3">
                  <a:lumMod val="60000"/>
                  <a:lumOff val="40000"/>
                </a:schemeClr>
              </a:solidFill>
              <a:ln w="19050">
                <a:solidFill>
                  <a:schemeClr val="lt1"/>
                </a:solidFill>
              </a:ln>
              <a:effectLst/>
            </c:spPr>
          </c:dPt>
          <c:dPt>
            <c:idx val="2"/>
            <c:bubble3D val="0"/>
            <c:spPr>
              <a:solidFill>
                <a:schemeClr val="accent6"/>
              </a:solidFill>
              <a:ln w="19050">
                <a:solidFill>
                  <a:schemeClr val="lt1"/>
                </a:solidFill>
              </a:ln>
              <a:effectLst/>
            </c:spPr>
          </c:dPt>
          <c:dPt>
            <c:idx val="3"/>
            <c:bubble3D val="0"/>
            <c:spPr>
              <a:solidFill>
                <a:schemeClr val="accent6">
                  <a:lumMod val="40000"/>
                  <a:lumOff val="60000"/>
                </a:schemeClr>
              </a:solidFill>
              <a:ln w="19050">
                <a:solidFill>
                  <a:schemeClr val="lt1"/>
                </a:solidFill>
              </a:ln>
              <a:effectLst/>
            </c:spPr>
          </c:dPt>
          <c:dPt>
            <c:idx val="4"/>
            <c:bubble3D val="0"/>
            <c:spPr>
              <a:solidFill>
                <a:schemeClr val="bg1">
                  <a:lumMod val="75000"/>
                </a:schemeClr>
              </a:solidFill>
              <a:ln w="19050">
                <a:solidFill>
                  <a:schemeClr val="lt1"/>
                </a:solidFill>
              </a:ln>
              <a:effectLst/>
            </c:spPr>
          </c:dPt>
          <c:dLbls>
            <c:spPr>
              <a:solidFill>
                <a:schemeClr val="bg1"/>
              </a:solidFill>
              <a:ln>
                <a:solidFill>
                  <a:sysClr val="windowText" lastClr="000000">
                    <a:lumMod val="25000"/>
                    <a:lumOff val="75000"/>
                  </a:sysClr>
                </a:solidFill>
              </a:ln>
              <a:effectLst/>
            </c:spPr>
            <c:txPr>
              <a:bodyPr rot="0" spcFirstLastPara="1" vertOverflow="ellipsis" vert="horz" wrap="square" lIns="38100" tIns="19050" rIns="38100" bIns="19050" anchor="ctr" anchorCtr="1">
                <a:spAutoFit/>
              </a:bodyPr>
              <a:lstStyle/>
              <a:p>
                <a:pPr>
                  <a:defRPr lang="zh-CN" sz="900" b="0" i="0" u="none" strike="noStrike" kern="1200" baseline="0">
                    <a:ln>
                      <a:noFill/>
                    </a:ln>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非常满意</c:v>
                </c:pt>
                <c:pt idx="1">
                  <c:v>比较满意</c:v>
                </c:pt>
                <c:pt idx="2">
                  <c:v>一般</c:v>
                </c:pt>
                <c:pt idx="3">
                  <c:v>比较不满意</c:v>
                </c:pt>
                <c:pt idx="4">
                  <c:v>非常不满意</c:v>
                </c:pt>
              </c:strCache>
            </c:strRef>
          </c:cat>
          <c:val>
            <c:numRef>
              <c:f>Sheet1!$B$2:$B$6</c:f>
              <c:numCache>
                <c:formatCode>0.0_ </c:formatCode>
                <c:ptCount val="5"/>
                <c:pt idx="0">
                  <c:v>28.6333333333333</c:v>
                </c:pt>
                <c:pt idx="1">
                  <c:v>50.9666666666667</c:v>
                </c:pt>
                <c:pt idx="2">
                  <c:v>16.6333333333333</c:v>
                </c:pt>
                <c:pt idx="3">
                  <c:v>3.16666666666667</c:v>
                </c:pt>
                <c:pt idx="4">
                  <c:v>0.6</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售后服务</c:v>
                </c:pt>
              </c:strCache>
            </c:strRef>
          </c:tx>
          <c:spPr/>
          <c:explosion val="0"/>
          <c:dPt>
            <c:idx val="0"/>
            <c:bubble3D val="0"/>
            <c:spPr>
              <a:solidFill>
                <a:srgbClr val="548235"/>
              </a:solidFill>
              <a:ln w="19050">
                <a:solidFill>
                  <a:schemeClr val="lt1"/>
                </a:solidFill>
              </a:ln>
              <a:effectLst/>
            </c:spPr>
          </c:dPt>
          <c:dPt>
            <c:idx val="1"/>
            <c:bubble3D val="0"/>
            <c:spPr>
              <a:solidFill>
                <a:schemeClr val="accent3">
                  <a:lumMod val="60000"/>
                  <a:lumOff val="40000"/>
                </a:schemeClr>
              </a:solidFill>
              <a:ln w="19050">
                <a:solidFill>
                  <a:schemeClr val="lt1"/>
                </a:solidFill>
              </a:ln>
              <a:effectLst/>
            </c:spPr>
          </c:dPt>
          <c:dPt>
            <c:idx val="2"/>
            <c:bubble3D val="0"/>
            <c:spPr>
              <a:solidFill>
                <a:schemeClr val="accent6"/>
              </a:solidFill>
              <a:ln w="19050">
                <a:solidFill>
                  <a:schemeClr val="lt1"/>
                </a:solidFill>
              </a:ln>
              <a:effectLst/>
            </c:spPr>
          </c:dPt>
          <c:dPt>
            <c:idx val="3"/>
            <c:bubble3D val="0"/>
            <c:spPr>
              <a:solidFill>
                <a:schemeClr val="accent6">
                  <a:lumMod val="40000"/>
                  <a:lumOff val="60000"/>
                </a:schemeClr>
              </a:solidFill>
              <a:ln w="19050">
                <a:solidFill>
                  <a:schemeClr val="lt1"/>
                </a:solidFill>
              </a:ln>
              <a:effectLst/>
            </c:spPr>
          </c:dPt>
          <c:dPt>
            <c:idx val="4"/>
            <c:bubble3D val="0"/>
            <c:spPr>
              <a:solidFill>
                <a:schemeClr val="bg1">
                  <a:lumMod val="75000"/>
                </a:schemeClr>
              </a:solidFill>
              <a:ln w="19050">
                <a:solidFill>
                  <a:schemeClr val="lt1"/>
                </a:solidFill>
              </a:ln>
              <a:effectLst/>
            </c:spPr>
          </c:dPt>
          <c:dLbls>
            <c:spPr>
              <a:solidFill>
                <a:schemeClr val="bg1"/>
              </a:solidFill>
              <a:ln>
                <a:solidFill>
                  <a:sysClr val="windowText" lastClr="000000">
                    <a:lumMod val="25000"/>
                    <a:lumOff val="75000"/>
                  </a:sysClr>
                </a:solidFill>
              </a:ln>
              <a:effectLst/>
            </c:spPr>
            <c:txPr>
              <a:bodyPr rot="0" spcFirstLastPara="1" vertOverflow="ellipsis" vert="horz" wrap="square" lIns="38100" tIns="19050" rIns="38100" bIns="19050" anchor="ctr" anchorCtr="1">
                <a:spAutoFit/>
              </a:bodyPr>
              <a:lstStyle/>
              <a:p>
                <a:pPr>
                  <a:defRPr lang="zh-CN" sz="900" b="0" i="0" u="none" strike="noStrike" kern="1200" baseline="0">
                    <a:ln>
                      <a:noFill/>
                    </a:ln>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非常满意</c:v>
                </c:pt>
                <c:pt idx="1">
                  <c:v>比较满意</c:v>
                </c:pt>
                <c:pt idx="2">
                  <c:v>一般</c:v>
                </c:pt>
                <c:pt idx="3">
                  <c:v>比较不满意</c:v>
                </c:pt>
                <c:pt idx="4">
                  <c:v>非常不满意</c:v>
                </c:pt>
              </c:strCache>
            </c:strRef>
          </c:cat>
          <c:val>
            <c:numRef>
              <c:f>Sheet1!$B$2:$B$6</c:f>
              <c:numCache>
                <c:formatCode>0.0_ </c:formatCode>
                <c:ptCount val="5"/>
                <c:pt idx="0">
                  <c:v>25.6666666666667</c:v>
                </c:pt>
                <c:pt idx="1">
                  <c:v>49.6333333333333</c:v>
                </c:pt>
                <c:pt idx="2">
                  <c:v>20.4</c:v>
                </c:pt>
                <c:pt idx="3">
                  <c:v>3.63333333333333</c:v>
                </c:pt>
                <c:pt idx="4">
                  <c:v>0.666666666666667</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退款便利性</c:v>
                </c:pt>
              </c:strCache>
            </c:strRef>
          </c:tx>
          <c:spPr/>
          <c:explosion val="0"/>
          <c:dPt>
            <c:idx val="0"/>
            <c:bubble3D val="0"/>
            <c:spPr>
              <a:solidFill>
                <a:srgbClr val="548235"/>
              </a:solidFill>
              <a:ln w="19050">
                <a:solidFill>
                  <a:schemeClr val="lt1"/>
                </a:solidFill>
              </a:ln>
              <a:effectLst/>
            </c:spPr>
          </c:dPt>
          <c:dPt>
            <c:idx val="1"/>
            <c:bubble3D val="0"/>
            <c:spPr>
              <a:solidFill>
                <a:schemeClr val="accent3">
                  <a:lumMod val="60000"/>
                  <a:lumOff val="40000"/>
                </a:schemeClr>
              </a:solidFill>
              <a:ln w="19050">
                <a:solidFill>
                  <a:schemeClr val="lt1"/>
                </a:solidFill>
              </a:ln>
              <a:effectLst/>
            </c:spPr>
          </c:dPt>
          <c:dPt>
            <c:idx val="2"/>
            <c:bubble3D val="0"/>
            <c:spPr>
              <a:solidFill>
                <a:schemeClr val="accent6"/>
              </a:solidFill>
              <a:ln w="19050">
                <a:solidFill>
                  <a:schemeClr val="lt1"/>
                </a:solidFill>
              </a:ln>
              <a:effectLst/>
            </c:spPr>
          </c:dPt>
          <c:dPt>
            <c:idx val="3"/>
            <c:bubble3D val="0"/>
            <c:spPr>
              <a:solidFill>
                <a:schemeClr val="accent6">
                  <a:lumMod val="40000"/>
                  <a:lumOff val="60000"/>
                </a:schemeClr>
              </a:solidFill>
              <a:ln w="19050">
                <a:solidFill>
                  <a:schemeClr val="lt1"/>
                </a:solidFill>
              </a:ln>
              <a:effectLst/>
            </c:spPr>
          </c:dPt>
          <c:dPt>
            <c:idx val="4"/>
            <c:bubble3D val="0"/>
            <c:spPr>
              <a:solidFill>
                <a:schemeClr val="bg1">
                  <a:lumMod val="75000"/>
                </a:schemeClr>
              </a:solidFill>
              <a:ln w="19050">
                <a:solidFill>
                  <a:schemeClr val="lt1"/>
                </a:solidFill>
              </a:ln>
              <a:effectLst/>
            </c:spPr>
          </c:dPt>
          <c:dLbls>
            <c:spPr>
              <a:solidFill>
                <a:schemeClr val="bg1"/>
              </a:solidFill>
              <a:ln>
                <a:solidFill>
                  <a:sysClr val="windowText" lastClr="000000">
                    <a:lumMod val="25000"/>
                    <a:lumOff val="75000"/>
                  </a:sysClr>
                </a:solidFill>
              </a:ln>
              <a:effectLst/>
            </c:spPr>
            <c:txPr>
              <a:bodyPr rot="0" spcFirstLastPara="1" vertOverflow="ellipsis" vert="horz" wrap="square" lIns="38100" tIns="19050" rIns="38100" bIns="19050" anchor="ctr" anchorCtr="1">
                <a:spAutoFit/>
              </a:bodyPr>
              <a:lstStyle/>
              <a:p>
                <a:pPr>
                  <a:defRPr lang="zh-CN" sz="900" b="0" i="0" u="none" strike="noStrike" kern="1200" baseline="0">
                    <a:ln>
                      <a:noFill/>
                    </a:ln>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非常满意</c:v>
                </c:pt>
                <c:pt idx="1">
                  <c:v>比较满意</c:v>
                </c:pt>
                <c:pt idx="2">
                  <c:v>一般</c:v>
                </c:pt>
                <c:pt idx="3">
                  <c:v>比较不满意</c:v>
                </c:pt>
                <c:pt idx="4">
                  <c:v>非常不满意</c:v>
                </c:pt>
              </c:strCache>
            </c:strRef>
          </c:cat>
          <c:val>
            <c:numRef>
              <c:f>Sheet1!$B$2:$B$6</c:f>
              <c:numCache>
                <c:formatCode>0.0_ </c:formatCode>
                <c:ptCount val="5"/>
                <c:pt idx="0">
                  <c:v>26.6</c:v>
                </c:pt>
                <c:pt idx="1">
                  <c:v>51.4666666666667</c:v>
                </c:pt>
                <c:pt idx="2">
                  <c:v>17.6666666666667</c:v>
                </c:pt>
                <c:pt idx="3">
                  <c:v>3.96666666666667</c:v>
                </c:pt>
                <c:pt idx="4">
                  <c:v>0.3</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75"/>
          <c:y val="0.00403427512737378"/>
          <c:w val="0.76648031496063"/>
          <c:h val="0.951441490605753"/>
        </c:manualLayout>
      </c:layout>
      <c:barChart>
        <c:barDir val="bar"/>
        <c:grouping val="clustered"/>
        <c:varyColors val="0"/>
        <c:ser>
          <c:idx val="0"/>
          <c:order val="0"/>
          <c:spPr>
            <a:solidFill>
              <a:srgbClr val="548235"/>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使用评价</c:v>
                </c:pt>
                <c:pt idx="1">
                  <c:v>站报修功能</c:v>
                </c:pt>
                <c:pt idx="2">
                  <c:v>支付功能</c:v>
                </c:pt>
                <c:pt idx="3">
                  <c:v>售后服务</c:v>
                </c:pt>
                <c:pt idx="4">
                  <c:v>预约功能</c:v>
                </c:pt>
                <c:pt idx="5">
                  <c:v>费用查询</c:v>
                </c:pt>
                <c:pt idx="6">
                  <c:v>充电状态</c:v>
                </c:pt>
                <c:pt idx="7">
                  <c:v>地图导航</c:v>
                </c:pt>
              </c:strCache>
            </c:strRef>
          </c:cat>
          <c:val>
            <c:numRef>
              <c:f>Sheet1!$B$2:$B$9</c:f>
              <c:numCache>
                <c:formatCode>###0.0</c:formatCode>
                <c:ptCount val="8"/>
                <c:pt idx="0">
                  <c:v>29.2666666666667</c:v>
                </c:pt>
                <c:pt idx="1">
                  <c:v>29.4666666666667</c:v>
                </c:pt>
                <c:pt idx="2">
                  <c:v>29.7</c:v>
                </c:pt>
                <c:pt idx="3">
                  <c:v>29.9</c:v>
                </c:pt>
                <c:pt idx="4">
                  <c:v>30.1666666666667</c:v>
                </c:pt>
                <c:pt idx="5">
                  <c:v>36.3666666666667</c:v>
                </c:pt>
                <c:pt idx="6">
                  <c:v>36.8333333333333</c:v>
                </c:pt>
                <c:pt idx="7">
                  <c:v>40.3333333333333</c:v>
                </c:pt>
              </c:numCache>
            </c:numRef>
          </c:val>
        </c:ser>
        <c:dLbls>
          <c:showLegendKey val="0"/>
          <c:showVal val="1"/>
          <c:showCatName val="0"/>
          <c:showSerName val="0"/>
          <c:showPercent val="0"/>
          <c:showBubbleSize val="0"/>
        </c:dLbls>
        <c:gapWidth val="219"/>
        <c:axId val="362827783"/>
        <c:axId val="379634987"/>
      </c:barChart>
      <c:catAx>
        <c:axId val="362827783"/>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79634987"/>
        <c:crosses val="autoZero"/>
        <c:auto val="1"/>
        <c:lblAlgn val="ctr"/>
        <c:lblOffset val="100"/>
        <c:noMultiLvlLbl val="0"/>
      </c:catAx>
      <c:valAx>
        <c:axId val="379634987"/>
        <c:scaling>
          <c:orientation val="minMax"/>
        </c:scaling>
        <c:delete val="1"/>
        <c:axPos val="b"/>
        <c:numFmt formatCode="###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628277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仿宋_GB2312" panose="02010609030101010101" pitchFamily="3" charset="-122"/>
          <a:ea typeface="仿宋_GB2312" panose="02010609030101010101" pitchFamily="3" charset="-122"/>
        </a:defRPr>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25"/>
          <c:y val="0.0434439178515008"/>
          <c:w val="0.57648031496063"/>
          <c:h val="0.926475142490034"/>
        </c:manualLayout>
      </c:layout>
      <c:barChart>
        <c:barDir val="bar"/>
        <c:grouping val="clustered"/>
        <c:varyColors val="0"/>
        <c:ser>
          <c:idx val="0"/>
          <c:order val="0"/>
          <c:spPr>
            <a:solidFill>
              <a:srgbClr val="548235"/>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充电时间长</c:v>
                </c:pt>
                <c:pt idx="1">
                  <c:v>充电时存在安全隐患</c:v>
                </c:pt>
                <c:pt idx="2">
                  <c:v>充电点提供的充电桩信息不明</c:v>
                </c:pt>
                <c:pt idx="3">
                  <c:v>充电设施建设没有跟上电动汽车的发展速度</c:v>
                </c:pt>
                <c:pt idx="4">
                  <c:v>充电排队等待时间长</c:v>
                </c:pt>
                <c:pt idx="5">
                  <c:v>充电设施布局、选址不合理</c:v>
                </c:pt>
                <c:pt idx="6">
                  <c:v>售后服务跟不上，充电服务模式尚未成熟</c:v>
                </c:pt>
                <c:pt idx="7">
                  <c:v>充电桩少，不能满足充电需求</c:v>
                </c:pt>
                <c:pt idx="8">
                  <c:v>充电桩损坏、充电故障等</c:v>
                </c:pt>
                <c:pt idx="9">
                  <c:v>充电车位被非电动车或已充满电的车辆占用</c:v>
                </c:pt>
                <c:pt idx="10">
                  <c:v>充电站无人值守，电桩维护不及时</c:v>
                </c:pt>
              </c:strCache>
            </c:strRef>
          </c:cat>
          <c:val>
            <c:numRef>
              <c:f>Sheet1!$B$2:$B$12</c:f>
              <c:numCache>
                <c:formatCode>###0.0</c:formatCode>
                <c:ptCount val="11"/>
                <c:pt idx="0">
                  <c:v>20.8666666666667</c:v>
                </c:pt>
                <c:pt idx="1">
                  <c:v>21.3</c:v>
                </c:pt>
                <c:pt idx="2">
                  <c:v>21.9</c:v>
                </c:pt>
                <c:pt idx="3">
                  <c:v>22.0666666666667</c:v>
                </c:pt>
                <c:pt idx="4">
                  <c:v>24.2</c:v>
                </c:pt>
                <c:pt idx="5">
                  <c:v>24.4</c:v>
                </c:pt>
                <c:pt idx="6">
                  <c:v>24.5333333333333</c:v>
                </c:pt>
                <c:pt idx="7">
                  <c:v>25.7666666666667</c:v>
                </c:pt>
                <c:pt idx="8">
                  <c:v>27.7333333333333</c:v>
                </c:pt>
                <c:pt idx="9">
                  <c:v>31.5333333333333</c:v>
                </c:pt>
                <c:pt idx="10">
                  <c:v>33.5666666666667</c:v>
                </c:pt>
              </c:numCache>
            </c:numRef>
          </c:val>
        </c:ser>
        <c:dLbls>
          <c:showLegendKey val="0"/>
          <c:showVal val="1"/>
          <c:showCatName val="0"/>
          <c:showSerName val="0"/>
          <c:showPercent val="0"/>
          <c:showBubbleSize val="0"/>
        </c:dLbls>
        <c:gapWidth val="219"/>
        <c:axId val="362827783"/>
        <c:axId val="379634987"/>
      </c:barChart>
      <c:catAx>
        <c:axId val="362827783"/>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79634987"/>
        <c:crosses val="autoZero"/>
        <c:auto val="1"/>
        <c:lblAlgn val="ctr"/>
        <c:lblOffset val="100"/>
        <c:noMultiLvlLbl val="0"/>
      </c:catAx>
      <c:valAx>
        <c:axId val="379634987"/>
        <c:scaling>
          <c:orientation val="minMax"/>
        </c:scaling>
        <c:delete val="1"/>
        <c:axPos val="b"/>
        <c:numFmt formatCode="###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628277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仿宋_GB2312" panose="02010609030101010101" pitchFamily="3" charset="-122"/>
          <a:ea typeface="仿宋_GB2312" panose="02010609030101010101" pitchFamily="3" charset="-122"/>
        </a:defRPr>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
          <c:y val="0.0434439178515008"/>
          <c:w val="0.69898031496063"/>
          <c:h val="0.955794058351402"/>
        </c:manualLayout>
      </c:layout>
      <c:barChart>
        <c:barDir val="bar"/>
        <c:grouping val="clustered"/>
        <c:varyColors val="0"/>
        <c:ser>
          <c:idx val="0"/>
          <c:order val="0"/>
          <c:spPr>
            <a:solidFill>
              <a:srgbClr val="548235"/>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增加充电接口类型</c:v>
                </c:pt>
                <c:pt idx="1">
                  <c:v>设置休息区</c:v>
                </c:pt>
                <c:pt idx="2">
                  <c:v>改善充电桩使用体验</c:v>
                </c:pt>
                <c:pt idx="3">
                  <c:v>及时维修被损坏的充电桩</c:v>
                </c:pt>
                <c:pt idx="4">
                  <c:v>增加充电桩的数量</c:v>
                </c:pt>
                <c:pt idx="5">
                  <c:v>增加智能化管理，更新收费模式</c:v>
                </c:pt>
                <c:pt idx="6">
                  <c:v>改善充电桩分布位置</c:v>
                </c:pt>
                <c:pt idx="7">
                  <c:v>规范充电桩的管理，使充电桩拥有更高的使用效率</c:v>
                </c:pt>
                <c:pt idx="8">
                  <c:v>充电减免停车费</c:v>
                </c:pt>
                <c:pt idx="9">
                  <c:v>提高充电速度</c:v>
                </c:pt>
                <c:pt idx="10">
                  <c:v>降低充电费用</c:v>
                </c:pt>
              </c:strCache>
            </c:strRef>
          </c:cat>
          <c:val>
            <c:numRef>
              <c:f>Sheet1!$B$2:$B$12</c:f>
              <c:numCache>
                <c:formatCode>###0.0</c:formatCode>
                <c:ptCount val="11"/>
                <c:pt idx="0">
                  <c:v>21.4</c:v>
                </c:pt>
                <c:pt idx="1">
                  <c:v>23.1666666666667</c:v>
                </c:pt>
                <c:pt idx="2">
                  <c:v>23.5333333333333</c:v>
                </c:pt>
                <c:pt idx="3">
                  <c:v>24.5</c:v>
                </c:pt>
                <c:pt idx="4">
                  <c:v>25.1</c:v>
                </c:pt>
                <c:pt idx="5">
                  <c:v>26.6</c:v>
                </c:pt>
                <c:pt idx="6">
                  <c:v>26.9333333333333</c:v>
                </c:pt>
                <c:pt idx="7">
                  <c:v>29.3333333333333</c:v>
                </c:pt>
                <c:pt idx="8">
                  <c:v>29.6</c:v>
                </c:pt>
                <c:pt idx="9">
                  <c:v>31.1333333333333</c:v>
                </c:pt>
                <c:pt idx="10">
                  <c:v>32.4333333333333</c:v>
                </c:pt>
              </c:numCache>
            </c:numRef>
          </c:val>
        </c:ser>
        <c:dLbls>
          <c:showLegendKey val="0"/>
          <c:showVal val="1"/>
          <c:showCatName val="0"/>
          <c:showSerName val="0"/>
          <c:showPercent val="0"/>
          <c:showBubbleSize val="0"/>
        </c:dLbls>
        <c:gapWidth val="219"/>
        <c:axId val="362827783"/>
        <c:axId val="379634987"/>
      </c:barChart>
      <c:catAx>
        <c:axId val="362827783"/>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79634987"/>
        <c:crosses val="autoZero"/>
        <c:auto val="1"/>
        <c:lblAlgn val="ctr"/>
        <c:lblOffset val="100"/>
        <c:noMultiLvlLbl val="0"/>
      </c:catAx>
      <c:valAx>
        <c:axId val="379634987"/>
        <c:scaling>
          <c:orientation val="minMax"/>
        </c:scaling>
        <c:delete val="1"/>
        <c:axPos val="b"/>
        <c:numFmt formatCode="###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628277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仿宋_GB2312" panose="02010609030101010101" pitchFamily="3" charset="-122"/>
          <a:ea typeface="仿宋_GB2312" panose="02010609030101010101" pitchFamily="3" charset="-122"/>
        </a:defRPr>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75"/>
          <c:y val="0.0434439178515008"/>
          <c:w val="0.95148031496063"/>
          <c:h val="0.856236124642635"/>
        </c:manualLayout>
      </c:layout>
      <c:barChart>
        <c:barDir val="col"/>
        <c:grouping val="clustered"/>
        <c:varyColors val="0"/>
        <c:ser>
          <c:idx val="0"/>
          <c:order val="0"/>
          <c:spPr>
            <a:solidFill>
              <a:srgbClr val="548235"/>
            </a:solidFill>
            <a:ln>
              <a:noFill/>
            </a:ln>
            <a:effectLst/>
          </c:spPr>
          <c:invertIfNegative val="0"/>
          <c:dPt>
            <c:idx val="0"/>
            <c:invertIfNegative val="0"/>
            <c:bubble3D val="0"/>
            <c:spPr>
              <a:solidFill>
                <a:schemeClr val="accent6">
                  <a:lumMod val="75000"/>
                </a:schemeClr>
              </a:solidFill>
              <a:ln>
                <a:noFill/>
              </a:ln>
              <a:effectLst/>
            </c:spPr>
          </c:dPt>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整体体验</c:v>
                </c:pt>
                <c:pt idx="1">
                  <c:v>到达体验</c:v>
                </c:pt>
                <c:pt idx="2">
                  <c:v>充电体验</c:v>
                </c:pt>
                <c:pt idx="3">
                  <c:v>付款体验</c:v>
                </c:pt>
                <c:pt idx="4">
                  <c:v>离开体验</c:v>
                </c:pt>
              </c:strCache>
            </c:strRef>
          </c:cat>
          <c:val>
            <c:numRef>
              <c:f>Sheet1!$B$2:$B$6</c:f>
              <c:numCache>
                <c:formatCode>###0.00</c:formatCode>
                <c:ptCount val="5"/>
                <c:pt idx="0">
                  <c:v>8.1</c:v>
                </c:pt>
                <c:pt idx="1">
                  <c:v>8.05</c:v>
                </c:pt>
                <c:pt idx="2">
                  <c:v>7.4</c:v>
                </c:pt>
                <c:pt idx="3">
                  <c:v>8.5</c:v>
                </c:pt>
                <c:pt idx="4">
                  <c:v>7.85</c:v>
                </c:pt>
              </c:numCache>
            </c:numRef>
          </c:val>
        </c:ser>
        <c:dLbls>
          <c:showLegendKey val="0"/>
          <c:showVal val="1"/>
          <c:showCatName val="0"/>
          <c:showSerName val="0"/>
          <c:showPercent val="0"/>
          <c:showBubbleSize val="0"/>
        </c:dLbls>
        <c:gapWidth val="219"/>
        <c:overlap val="-27"/>
        <c:axId val="362827783"/>
        <c:axId val="379634987"/>
      </c:barChart>
      <c:catAx>
        <c:axId val="36282778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79634987"/>
        <c:crosses val="autoZero"/>
        <c:auto val="1"/>
        <c:lblAlgn val="ctr"/>
        <c:lblOffset val="100"/>
        <c:noMultiLvlLbl val="0"/>
      </c:catAx>
      <c:valAx>
        <c:axId val="379634987"/>
        <c:scaling>
          <c:orientation val="minMax"/>
          <c:min val="5"/>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628277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仿宋_GB2312" panose="02010609030101010101" pitchFamily="3" charset="-122"/>
          <a:ea typeface="仿宋_GB2312" panose="02010609030101010101" pitchFamily="3"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75"/>
          <c:y val="0.0434439178515008"/>
          <c:w val="0.95148031496063"/>
          <c:h val="0.825359275742706"/>
        </c:manualLayout>
      </c:layout>
      <c:barChart>
        <c:barDir val="col"/>
        <c:grouping val="clustered"/>
        <c:varyColors val="0"/>
        <c:ser>
          <c:idx val="0"/>
          <c:order val="0"/>
          <c:tx>
            <c:strRef>
              <c:f>Sheet1!$B$1</c:f>
              <c:strCache>
                <c:ptCount val="1"/>
                <c:pt idx="0">
                  <c:v>1</c:v>
                </c:pt>
              </c:strCache>
            </c:strRef>
          </c:tx>
          <c:spPr>
            <a:solidFill>
              <a:srgbClr val="548235"/>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10km以内</c:v>
                </c:pt>
                <c:pt idx="1">
                  <c:v>10-20km</c:v>
                </c:pt>
                <c:pt idx="2">
                  <c:v>20-30km</c:v>
                </c:pt>
                <c:pt idx="3">
                  <c:v>30-40km</c:v>
                </c:pt>
                <c:pt idx="4">
                  <c:v>40-50km</c:v>
                </c:pt>
                <c:pt idx="5">
                  <c:v>50km及以上</c:v>
                </c:pt>
              </c:strCache>
            </c:strRef>
          </c:cat>
          <c:val>
            <c:numRef>
              <c:f>Sheet1!$B$2:$B$7</c:f>
              <c:numCache>
                <c:formatCode>###0.0</c:formatCode>
                <c:ptCount val="6"/>
                <c:pt idx="0">
                  <c:v>7.23333333333333</c:v>
                </c:pt>
                <c:pt idx="1">
                  <c:v>29.2333333333333</c:v>
                </c:pt>
                <c:pt idx="2">
                  <c:v>35.6</c:v>
                </c:pt>
                <c:pt idx="3">
                  <c:v>16.1666666666667</c:v>
                </c:pt>
                <c:pt idx="4">
                  <c:v>6.23333333333333</c:v>
                </c:pt>
                <c:pt idx="5">
                  <c:v>5.53333333333333</c:v>
                </c:pt>
              </c:numCache>
            </c:numRef>
          </c:val>
        </c:ser>
        <c:dLbls>
          <c:showLegendKey val="0"/>
          <c:showVal val="1"/>
          <c:showCatName val="0"/>
          <c:showSerName val="0"/>
          <c:showPercent val="0"/>
          <c:showBubbleSize val="0"/>
        </c:dLbls>
        <c:gapWidth val="219"/>
        <c:overlap val="-27"/>
        <c:axId val="362827783"/>
        <c:axId val="379634987"/>
      </c:barChart>
      <c:catAx>
        <c:axId val="36282778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79634987"/>
        <c:crosses val="autoZero"/>
        <c:auto val="1"/>
        <c:lblAlgn val="ctr"/>
        <c:lblOffset val="100"/>
        <c:noMultiLvlLbl val="0"/>
      </c:catAx>
      <c:valAx>
        <c:axId val="379634987"/>
        <c:scaling>
          <c:orientation val="minMax"/>
        </c:scaling>
        <c:delete val="1"/>
        <c:axPos val="l"/>
        <c:numFmt formatCode="###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628277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仿宋_GB2312" panose="02010609030101010101" pitchFamily="3" charset="-122"/>
          <a:ea typeface="仿宋_GB2312" panose="02010609030101010101" pitchFamily="3" charset="-122"/>
        </a:defRPr>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5"/>
          <c:y val="0.0434439178515008"/>
          <c:w val="0.721998622047244"/>
          <c:h val="0.911457903973552"/>
        </c:manualLayout>
      </c:layout>
      <c:barChart>
        <c:barDir val="bar"/>
        <c:grouping val="clustered"/>
        <c:varyColors val="0"/>
        <c:ser>
          <c:idx val="0"/>
          <c:order val="0"/>
          <c:spPr>
            <a:solidFill>
              <a:srgbClr val="548235"/>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充电站售后服务</c:v>
                </c:pt>
                <c:pt idx="1">
                  <c:v>充电站报修功能</c:v>
                </c:pt>
                <c:pt idx="2">
                  <c:v>充电站预约功能</c:v>
                </c:pt>
                <c:pt idx="3">
                  <c:v>充电站使用评价</c:v>
                </c:pt>
                <c:pt idx="4">
                  <c:v>充电站支付功能</c:v>
                </c:pt>
                <c:pt idx="5">
                  <c:v>充电站费用查询</c:v>
                </c:pt>
                <c:pt idx="6">
                  <c:v>充电站地图导航</c:v>
                </c:pt>
                <c:pt idx="7">
                  <c:v>充电站充电状态</c:v>
                </c:pt>
              </c:strCache>
            </c:strRef>
          </c:cat>
          <c:val>
            <c:numRef>
              <c:f>Sheet1!$B$2:$B$9</c:f>
              <c:numCache>
                <c:formatCode>###0.0</c:formatCode>
                <c:ptCount val="8"/>
                <c:pt idx="0">
                  <c:v>1</c:v>
                </c:pt>
                <c:pt idx="1">
                  <c:v>2</c:v>
                </c:pt>
                <c:pt idx="2">
                  <c:v>7</c:v>
                </c:pt>
                <c:pt idx="3">
                  <c:v>34</c:v>
                </c:pt>
                <c:pt idx="4">
                  <c:v>57</c:v>
                </c:pt>
                <c:pt idx="5">
                  <c:v>62</c:v>
                </c:pt>
                <c:pt idx="6">
                  <c:v>64</c:v>
                </c:pt>
                <c:pt idx="7">
                  <c:v>87</c:v>
                </c:pt>
              </c:numCache>
            </c:numRef>
          </c:val>
        </c:ser>
        <c:dLbls>
          <c:showLegendKey val="0"/>
          <c:showVal val="1"/>
          <c:showCatName val="0"/>
          <c:showSerName val="0"/>
          <c:showPercent val="0"/>
          <c:showBubbleSize val="0"/>
        </c:dLbls>
        <c:gapWidth val="219"/>
        <c:axId val="362827783"/>
        <c:axId val="379634987"/>
      </c:barChart>
      <c:catAx>
        <c:axId val="362827783"/>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79634987"/>
        <c:crosses val="autoZero"/>
        <c:auto val="1"/>
        <c:lblAlgn val="ctr"/>
        <c:lblOffset val="100"/>
        <c:noMultiLvlLbl val="0"/>
      </c:catAx>
      <c:valAx>
        <c:axId val="379634987"/>
        <c:scaling>
          <c:orientation val="minMax"/>
        </c:scaling>
        <c:delete val="1"/>
        <c:axPos val="b"/>
        <c:numFmt formatCode="###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628277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仿宋_GB2312" panose="02010609030101010101" pitchFamily="3" charset="-122"/>
          <a:ea typeface="仿宋_GB2312" panose="02010609030101010101" pitchFamily="3" charset="-122"/>
        </a:defRPr>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5"/>
          <c:y val="0.0434439178515008"/>
          <c:w val="0.81148031496063"/>
          <c:h val="0.956556055493063"/>
        </c:manualLayout>
      </c:layout>
      <c:barChart>
        <c:barDir val="bar"/>
        <c:grouping val="clustered"/>
        <c:varyColors val="0"/>
        <c:ser>
          <c:idx val="0"/>
          <c:order val="0"/>
          <c:spPr>
            <a:noFill/>
            <a:ln>
              <a:solidFill>
                <a:schemeClr val="accent3">
                  <a:lumMod val="75000"/>
                </a:schemeClr>
              </a:solidFill>
            </a:ln>
            <a:effectLst/>
          </c:spPr>
          <c:invertIfNegative val="0"/>
          <c:dPt>
            <c:idx val="0"/>
            <c:invertIfNegative val="0"/>
            <c:bubble3D val="0"/>
            <c:spPr>
              <a:noFill/>
              <a:ln>
                <a:solidFill>
                  <a:schemeClr val="accent3">
                    <a:lumMod val="75000"/>
                  </a:schemeClr>
                </a:solidFill>
              </a:ln>
              <a:effectLst/>
            </c:spPr>
          </c:dPt>
          <c:dLbls>
            <c:delete val="1"/>
          </c:dLbls>
          <c:cat>
            <c:strRef>
              <c:f>Sheet1!$A$2:$A$3</c:f>
              <c:strCache>
                <c:ptCount val="2"/>
                <c:pt idx="0">
                  <c:v>充电平台及APP的使用</c:v>
                </c:pt>
                <c:pt idx="1">
                  <c:v>充电站地理位置便利性</c:v>
                </c:pt>
              </c:strCache>
            </c:strRef>
          </c:cat>
          <c:val>
            <c:numRef>
              <c:f>Sheet1!$B$2:$B$3</c:f>
              <c:numCache>
                <c:formatCode>###0.0</c:formatCode>
                <c:ptCount val="2"/>
                <c:pt idx="0">
                  <c:v>10</c:v>
                </c:pt>
                <c:pt idx="1">
                  <c:v>10</c:v>
                </c:pt>
              </c:numCache>
            </c:numRef>
          </c:val>
        </c:ser>
        <c:ser>
          <c:idx val="1"/>
          <c:order val="1"/>
          <c:spPr>
            <a:solidFill>
              <a:srgbClr val="54823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3">
                        <a:lumMod val="50000"/>
                      </a:schemeClr>
                    </a:solidFill>
                    <a:latin typeface="仿宋_GB2312" panose="02010609030101010101" pitchFamily="3" charset="-122"/>
                    <a:ea typeface="仿宋_GB2312" panose="0201060903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充电平台及APP的使用</c:v>
                </c:pt>
                <c:pt idx="1">
                  <c:v>充电站地理位置便利性</c:v>
                </c:pt>
              </c:strCache>
            </c:strRef>
          </c:cat>
          <c:val>
            <c:numRef>
              <c:f>Sheet1!$C$2:$C$3</c:f>
              <c:numCache>
                <c:formatCode>General</c:formatCode>
                <c:ptCount val="2"/>
                <c:pt idx="0">
                  <c:v>8.15</c:v>
                </c:pt>
                <c:pt idx="1">
                  <c:v>7.95</c:v>
                </c:pt>
              </c:numCache>
            </c:numRef>
          </c:val>
        </c:ser>
        <c:dLbls>
          <c:showLegendKey val="0"/>
          <c:showVal val="1"/>
          <c:showCatName val="0"/>
          <c:showSerName val="0"/>
          <c:showPercent val="0"/>
          <c:showBubbleSize val="0"/>
        </c:dLbls>
        <c:gapWidth val="219"/>
        <c:overlap val="100"/>
        <c:axId val="362827783"/>
        <c:axId val="379634987"/>
      </c:barChart>
      <c:catAx>
        <c:axId val="362827783"/>
        <c:scaling>
          <c:orientation val="minMax"/>
        </c:scaling>
        <c:delete val="0"/>
        <c:axPos val="l"/>
        <c:numFmt formatCode="General" sourceLinked="0"/>
        <c:majorTickMark val="none"/>
        <c:minorTickMark val="none"/>
        <c:tickLblPos val="nextTo"/>
        <c:spPr>
          <a:noFill/>
          <a:ln w="9525" cap="flat" cmpd="sng" algn="ctr">
            <a:no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79634987"/>
        <c:crosses val="autoZero"/>
        <c:auto val="1"/>
        <c:lblAlgn val="ctr"/>
        <c:lblOffset val="100"/>
        <c:noMultiLvlLbl val="0"/>
      </c:catAx>
      <c:valAx>
        <c:axId val="379634987"/>
        <c:scaling>
          <c:orientation val="minMax"/>
        </c:scaling>
        <c:delete val="1"/>
        <c:axPos val="b"/>
        <c:numFmt formatCode="###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628277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仿宋_GB2312" panose="02010609030101010101" pitchFamily="3" charset="-122"/>
          <a:ea typeface="仿宋_GB2312" panose="02010609030101010101" pitchFamily="3" charset="-122"/>
        </a:defRPr>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5"/>
          <c:y val="0.0434439178515008"/>
          <c:w val="0.721998622047244"/>
          <c:h val="0.954250501296034"/>
        </c:manualLayout>
      </c:layout>
      <c:barChart>
        <c:barDir val="bar"/>
        <c:grouping val="clustered"/>
        <c:varyColors val="0"/>
        <c:ser>
          <c:idx val="0"/>
          <c:order val="0"/>
          <c:spPr>
            <a:solidFill>
              <a:srgbClr val="548235"/>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高速公路服务区</c:v>
                </c:pt>
                <c:pt idx="1">
                  <c:v>旅游景区</c:v>
                </c:pt>
                <c:pt idx="2">
                  <c:v>物流园区</c:v>
                </c:pt>
                <c:pt idx="3">
                  <c:v>文化艺术中心</c:v>
                </c:pt>
                <c:pt idx="4">
                  <c:v>加油加气站</c:v>
                </c:pt>
                <c:pt idx="5">
                  <c:v>行政服务中心</c:v>
                </c:pt>
                <c:pt idx="6">
                  <c:v>各大客运站</c:v>
                </c:pt>
                <c:pt idx="7">
                  <c:v>社区服务中心</c:v>
                </c:pt>
                <c:pt idx="8">
                  <c:v>体育运动场馆</c:v>
                </c:pt>
                <c:pt idx="9">
                  <c:v>医院和学校</c:v>
                </c:pt>
                <c:pt idx="10">
                  <c:v>商业中心</c:v>
                </c:pt>
                <c:pt idx="11">
                  <c:v>公共停车场</c:v>
                </c:pt>
                <c:pt idx="12">
                  <c:v>居住小区</c:v>
                </c:pt>
              </c:strCache>
            </c:strRef>
          </c:cat>
          <c:val>
            <c:numRef>
              <c:f>Sheet1!$B$2:$B$14</c:f>
              <c:numCache>
                <c:formatCode>###0.00</c:formatCode>
                <c:ptCount val="13"/>
                <c:pt idx="0">
                  <c:v>1</c:v>
                </c:pt>
                <c:pt idx="1">
                  <c:v>3</c:v>
                </c:pt>
                <c:pt idx="2">
                  <c:v>5</c:v>
                </c:pt>
                <c:pt idx="3">
                  <c:v>5</c:v>
                </c:pt>
                <c:pt idx="4">
                  <c:v>8</c:v>
                </c:pt>
                <c:pt idx="5">
                  <c:v>10</c:v>
                </c:pt>
                <c:pt idx="6">
                  <c:v>10</c:v>
                </c:pt>
                <c:pt idx="7">
                  <c:v>15</c:v>
                </c:pt>
                <c:pt idx="8">
                  <c:v>18</c:v>
                </c:pt>
                <c:pt idx="9">
                  <c:v>29</c:v>
                </c:pt>
                <c:pt idx="10">
                  <c:v>50</c:v>
                </c:pt>
                <c:pt idx="11">
                  <c:v>88</c:v>
                </c:pt>
                <c:pt idx="12">
                  <c:v>92</c:v>
                </c:pt>
              </c:numCache>
            </c:numRef>
          </c:val>
        </c:ser>
        <c:dLbls>
          <c:showLegendKey val="0"/>
          <c:showVal val="1"/>
          <c:showCatName val="0"/>
          <c:showSerName val="0"/>
          <c:showPercent val="0"/>
          <c:showBubbleSize val="0"/>
        </c:dLbls>
        <c:gapWidth val="219"/>
        <c:axId val="362827783"/>
        <c:axId val="379634987"/>
      </c:barChart>
      <c:catAx>
        <c:axId val="362827783"/>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79634987"/>
        <c:crosses val="autoZero"/>
        <c:auto val="1"/>
        <c:lblAlgn val="ctr"/>
        <c:lblOffset val="100"/>
        <c:noMultiLvlLbl val="0"/>
      </c:catAx>
      <c:valAx>
        <c:axId val="379634987"/>
        <c:scaling>
          <c:orientation val="minMax"/>
        </c:scaling>
        <c:delete val="1"/>
        <c:axPos val="b"/>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628277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仿宋_GB2312" panose="02010609030101010101" pitchFamily="3" charset="-122"/>
          <a:ea typeface="仿宋_GB2312" panose="02010609030101010101" pitchFamily="3" charset="-122"/>
        </a:defRPr>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75"/>
          <c:y val="0.0434439178515008"/>
          <c:w val="0.95148031496063"/>
          <c:h val="0.856236124642635"/>
        </c:manualLayout>
      </c:layout>
      <c:barChart>
        <c:barDir val="col"/>
        <c:grouping val="clustered"/>
        <c:varyColors val="0"/>
        <c:ser>
          <c:idx val="0"/>
          <c:order val="0"/>
          <c:tx>
            <c:strRef>
              <c:f>Sheet1!$B$1</c:f>
              <c:strCache>
                <c:ptCount val="1"/>
                <c:pt idx="0">
                  <c:v>1</c:v>
                </c:pt>
              </c:strCache>
            </c:strRef>
          </c:tx>
          <c:spPr>
            <a:solidFill>
              <a:srgbClr val="548235"/>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无需等待</c:v>
                </c:pt>
                <c:pt idx="1">
                  <c:v>10分钟以内</c:v>
                </c:pt>
                <c:pt idx="2">
                  <c:v>10-30分钟</c:v>
                </c:pt>
                <c:pt idx="3">
                  <c:v>30-60分钟</c:v>
                </c:pt>
              </c:strCache>
            </c:strRef>
          </c:cat>
          <c:val>
            <c:numRef>
              <c:f>Sheet1!$B$2:$B$5</c:f>
              <c:numCache>
                <c:formatCode>###0.0</c:formatCode>
                <c:ptCount val="4"/>
                <c:pt idx="0">
                  <c:v>78</c:v>
                </c:pt>
                <c:pt idx="1">
                  <c:v>7</c:v>
                </c:pt>
                <c:pt idx="2">
                  <c:v>9</c:v>
                </c:pt>
                <c:pt idx="3">
                  <c:v>6</c:v>
                </c:pt>
              </c:numCache>
            </c:numRef>
          </c:val>
        </c:ser>
        <c:dLbls>
          <c:showLegendKey val="0"/>
          <c:showVal val="1"/>
          <c:showCatName val="0"/>
          <c:showSerName val="0"/>
          <c:showPercent val="0"/>
          <c:showBubbleSize val="0"/>
        </c:dLbls>
        <c:gapWidth val="219"/>
        <c:overlap val="-27"/>
        <c:axId val="362827783"/>
        <c:axId val="379634987"/>
      </c:barChart>
      <c:catAx>
        <c:axId val="36282778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79634987"/>
        <c:crosses val="autoZero"/>
        <c:auto val="1"/>
        <c:lblAlgn val="ctr"/>
        <c:lblOffset val="100"/>
        <c:noMultiLvlLbl val="0"/>
      </c:catAx>
      <c:valAx>
        <c:axId val="379634987"/>
        <c:scaling>
          <c:orientation val="minMax"/>
        </c:scaling>
        <c:delete val="1"/>
        <c:axPos val="l"/>
        <c:numFmt formatCode="###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628277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仿宋_GB2312" panose="02010609030101010101" pitchFamily="3" charset="-122"/>
          <a:ea typeface="仿宋_GB2312" panose="02010609030101010101" pitchFamily="3" charset="-122"/>
        </a:defRPr>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5"/>
          <c:y val="0.0434439178515008"/>
          <c:w val="0.81148031496063"/>
          <c:h val="0.955794058351402"/>
        </c:manualLayout>
      </c:layout>
      <c:barChart>
        <c:barDir val="bar"/>
        <c:grouping val="clustered"/>
        <c:varyColors val="0"/>
        <c:ser>
          <c:idx val="0"/>
          <c:order val="0"/>
          <c:spPr>
            <a:noFill/>
            <a:ln>
              <a:solidFill>
                <a:schemeClr val="accent3">
                  <a:lumMod val="75000"/>
                </a:schemeClr>
              </a:solidFill>
            </a:ln>
            <a:effectLst/>
          </c:spPr>
          <c:invertIfNegative val="0"/>
          <c:dPt>
            <c:idx val="0"/>
            <c:invertIfNegative val="0"/>
            <c:bubble3D val="0"/>
            <c:spPr>
              <a:noFill/>
              <a:ln>
                <a:solidFill>
                  <a:schemeClr val="accent3">
                    <a:lumMod val="75000"/>
                  </a:schemeClr>
                </a:solidFill>
              </a:ln>
              <a:effectLst/>
            </c:spPr>
          </c:dPt>
          <c:dLbls>
            <c:delete val="1"/>
          </c:dLbls>
          <c:cat>
            <c:strRef>
              <c:f>Sheet1!$A$2:$A$3</c:f>
              <c:strCache>
                <c:ptCount val="2"/>
                <c:pt idx="0">
                  <c:v>充电设施的卫生和清洁程度</c:v>
                </c:pt>
                <c:pt idx="1">
                  <c:v>充电站周围环境和氛围</c:v>
                </c:pt>
              </c:strCache>
            </c:strRef>
          </c:cat>
          <c:val>
            <c:numRef>
              <c:f>Sheet1!$B$2:$B$3</c:f>
              <c:numCache>
                <c:formatCode>###0.0</c:formatCode>
                <c:ptCount val="2"/>
                <c:pt idx="0">
                  <c:v>10</c:v>
                </c:pt>
                <c:pt idx="1">
                  <c:v>10</c:v>
                </c:pt>
              </c:numCache>
            </c:numRef>
          </c:val>
        </c:ser>
        <c:ser>
          <c:idx val="1"/>
          <c:order val="1"/>
          <c:spPr>
            <a:solidFill>
              <a:srgbClr val="54823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3">
                        <a:lumMod val="50000"/>
                      </a:schemeClr>
                    </a:solidFill>
                    <a:latin typeface="仿宋_GB2312" panose="02010609030101010101" pitchFamily="3" charset="-122"/>
                    <a:ea typeface="仿宋_GB2312" panose="0201060903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充电设施的卫生和清洁程度</c:v>
                </c:pt>
                <c:pt idx="1">
                  <c:v>充电站周围环境和氛围</c:v>
                </c:pt>
              </c:strCache>
            </c:strRef>
          </c:cat>
          <c:val>
            <c:numRef>
              <c:f>Sheet1!$C$2:$C$3</c:f>
              <c:numCache>
                <c:formatCode>General</c:formatCode>
                <c:ptCount val="2"/>
                <c:pt idx="0">
                  <c:v>7.35</c:v>
                </c:pt>
                <c:pt idx="1">
                  <c:v>7.45</c:v>
                </c:pt>
              </c:numCache>
            </c:numRef>
          </c:val>
        </c:ser>
        <c:dLbls>
          <c:showLegendKey val="0"/>
          <c:showVal val="1"/>
          <c:showCatName val="0"/>
          <c:showSerName val="0"/>
          <c:showPercent val="0"/>
          <c:showBubbleSize val="0"/>
        </c:dLbls>
        <c:gapWidth val="219"/>
        <c:overlap val="100"/>
        <c:axId val="362827783"/>
        <c:axId val="379634987"/>
      </c:barChart>
      <c:catAx>
        <c:axId val="362827783"/>
        <c:scaling>
          <c:orientation val="minMax"/>
        </c:scaling>
        <c:delete val="0"/>
        <c:axPos val="l"/>
        <c:numFmt formatCode="General" sourceLinked="0"/>
        <c:majorTickMark val="none"/>
        <c:minorTickMark val="none"/>
        <c:tickLblPos val="nextTo"/>
        <c:spPr>
          <a:noFill/>
          <a:ln w="9525" cap="flat" cmpd="sng" algn="ctr">
            <a:no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79634987"/>
        <c:crosses val="autoZero"/>
        <c:auto val="1"/>
        <c:lblAlgn val="ctr"/>
        <c:lblOffset val="100"/>
        <c:noMultiLvlLbl val="0"/>
      </c:catAx>
      <c:valAx>
        <c:axId val="379634987"/>
        <c:scaling>
          <c:orientation val="minMax"/>
        </c:scaling>
        <c:delete val="1"/>
        <c:axPos val="b"/>
        <c:numFmt formatCode="###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628277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仿宋_GB2312" panose="02010609030101010101" pitchFamily="3" charset="-122"/>
          <a:ea typeface="仿宋_GB2312" panose="02010609030101010101" pitchFamily="3" charset="-122"/>
        </a:defRPr>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75"/>
          <c:y val="0.0434439178515008"/>
          <c:w val="0.95148031496063"/>
          <c:h val="0.856236124642635"/>
        </c:manualLayout>
      </c:layout>
      <c:barChart>
        <c:barDir val="col"/>
        <c:grouping val="clustered"/>
        <c:varyColors val="0"/>
        <c:ser>
          <c:idx val="0"/>
          <c:order val="0"/>
          <c:spPr>
            <a:solidFill>
              <a:srgbClr val="548235"/>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非常易懂</c:v>
                </c:pt>
                <c:pt idx="1">
                  <c:v>比较易懂</c:v>
                </c:pt>
                <c:pt idx="2">
                  <c:v>一般般</c:v>
                </c:pt>
                <c:pt idx="3">
                  <c:v>不够清晰</c:v>
                </c:pt>
                <c:pt idx="4">
                  <c:v>很不清晰</c:v>
                </c:pt>
              </c:strCache>
            </c:strRef>
          </c:cat>
          <c:val>
            <c:numRef>
              <c:f>Sheet1!$B$2:$B$6</c:f>
              <c:numCache>
                <c:formatCode>###0.0</c:formatCode>
                <c:ptCount val="5"/>
                <c:pt idx="0">
                  <c:v>36</c:v>
                </c:pt>
                <c:pt idx="1">
                  <c:v>44</c:v>
                </c:pt>
                <c:pt idx="2">
                  <c:v>12</c:v>
                </c:pt>
                <c:pt idx="3">
                  <c:v>5</c:v>
                </c:pt>
                <c:pt idx="4">
                  <c:v>3</c:v>
                </c:pt>
              </c:numCache>
            </c:numRef>
          </c:val>
        </c:ser>
        <c:dLbls>
          <c:showLegendKey val="0"/>
          <c:showVal val="1"/>
          <c:showCatName val="0"/>
          <c:showSerName val="0"/>
          <c:showPercent val="0"/>
          <c:showBubbleSize val="0"/>
        </c:dLbls>
        <c:gapWidth val="219"/>
        <c:overlap val="-27"/>
        <c:axId val="362827783"/>
        <c:axId val="379634987"/>
      </c:barChart>
      <c:catAx>
        <c:axId val="36282778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79634987"/>
        <c:crosses val="autoZero"/>
        <c:auto val="1"/>
        <c:lblAlgn val="ctr"/>
        <c:lblOffset val="100"/>
        <c:noMultiLvlLbl val="0"/>
      </c:catAx>
      <c:valAx>
        <c:axId val="379634987"/>
        <c:scaling>
          <c:orientation val="minMax"/>
        </c:scaling>
        <c:delete val="1"/>
        <c:axPos val="l"/>
        <c:numFmt formatCode="###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628277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仿宋_GB2312" panose="02010609030101010101" pitchFamily="3" charset="-122"/>
          <a:ea typeface="仿宋_GB2312" panose="02010609030101010101" pitchFamily="3" charset="-122"/>
        </a:defRPr>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5"/>
          <c:y val="0.0434439178515008"/>
          <c:w val="0.77898031496063"/>
          <c:h val="0.955794058351402"/>
        </c:manualLayout>
      </c:layout>
      <c:barChart>
        <c:barDir val="bar"/>
        <c:grouping val="clustered"/>
        <c:varyColors val="0"/>
        <c:ser>
          <c:idx val="0"/>
          <c:order val="0"/>
          <c:spPr>
            <a:solidFill>
              <a:srgbClr val="548235"/>
            </a:solidFill>
            <a:ln w="28575">
              <a:noFill/>
            </a:ln>
            <a:effectLst/>
          </c:spPr>
          <c:invertIfNegative val="0"/>
          <c:dPt>
            <c:idx val="0"/>
            <c:invertIfNegative val="0"/>
            <c:bubble3D val="0"/>
            <c:spPr>
              <a:solidFill>
                <a:srgbClr val="548235"/>
              </a:solidFill>
              <a:ln w="28575">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3">
                        <a:lumMod val="50000"/>
                      </a:schemeClr>
                    </a:solidFill>
                    <a:latin typeface="仿宋_GB2312" panose="02010609030101010101" pitchFamily="3" charset="-122"/>
                    <a:ea typeface="仿宋_GB2312" panose="0201060903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充电站平均配置空余充电桩数量</c:v>
                </c:pt>
                <c:pt idx="1">
                  <c:v>充电站平均配置充电桩数量</c:v>
                </c:pt>
              </c:strCache>
            </c:strRef>
          </c:cat>
          <c:val>
            <c:numRef>
              <c:f>Sheet1!$B$2:$B$3</c:f>
              <c:numCache>
                <c:formatCode>###0.0</c:formatCode>
                <c:ptCount val="2"/>
                <c:pt idx="0">
                  <c:v>7.15</c:v>
                </c:pt>
                <c:pt idx="1">
                  <c:v>13.2</c:v>
                </c:pt>
              </c:numCache>
            </c:numRef>
          </c:val>
        </c:ser>
        <c:dLbls>
          <c:showLegendKey val="0"/>
          <c:showVal val="1"/>
          <c:showCatName val="0"/>
          <c:showSerName val="0"/>
          <c:showPercent val="0"/>
          <c:showBubbleSize val="0"/>
        </c:dLbls>
        <c:gapWidth val="219"/>
        <c:overlap val="100"/>
        <c:axId val="362827783"/>
        <c:axId val="379634987"/>
      </c:barChart>
      <c:catAx>
        <c:axId val="362827783"/>
        <c:scaling>
          <c:orientation val="minMax"/>
        </c:scaling>
        <c:delete val="0"/>
        <c:axPos val="l"/>
        <c:numFmt formatCode="General" sourceLinked="0"/>
        <c:majorTickMark val="none"/>
        <c:minorTickMark val="none"/>
        <c:tickLblPos val="nextTo"/>
        <c:spPr>
          <a:noFill/>
          <a:ln w="9525" cap="flat" cmpd="sng" algn="ctr">
            <a:no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79634987"/>
        <c:crosses val="autoZero"/>
        <c:auto val="1"/>
        <c:lblAlgn val="ctr"/>
        <c:lblOffset val="100"/>
        <c:noMultiLvlLbl val="0"/>
      </c:catAx>
      <c:valAx>
        <c:axId val="379634987"/>
        <c:scaling>
          <c:orientation val="minMax"/>
        </c:scaling>
        <c:delete val="1"/>
        <c:axPos val="b"/>
        <c:numFmt formatCode="###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628277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仿宋_GB2312" panose="02010609030101010101" pitchFamily="3" charset="-122"/>
          <a:ea typeface="仿宋_GB2312" panose="02010609030101010101" pitchFamily="3" charset="-122"/>
        </a:defRPr>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列1</c:v>
                </c:pt>
              </c:strCache>
            </c:strRef>
          </c:tx>
          <c:spPr/>
          <c:explosion val="0"/>
          <c:dPt>
            <c:idx val="0"/>
            <c:bubble3D val="0"/>
            <c:spPr>
              <a:solidFill>
                <a:srgbClr val="548235"/>
              </a:solidFill>
              <a:ln w="19050">
                <a:solidFill>
                  <a:schemeClr val="lt1"/>
                </a:solidFill>
              </a:ln>
              <a:effectLst/>
            </c:spPr>
          </c:dPt>
          <c:dPt>
            <c:idx val="1"/>
            <c:bubble3D val="0"/>
            <c:spPr>
              <a:solidFill>
                <a:schemeClr val="accent6"/>
              </a:solidFill>
              <a:ln w="19050">
                <a:noFill/>
              </a:ln>
              <a:effectLst/>
            </c:spPr>
          </c:dPt>
          <c:dLbls>
            <c:dLbl>
              <c:idx val="0"/>
              <c:layout>
                <c:manualLayout>
                  <c:x val="0.256686033177892"/>
                  <c:y val="0.00998003992015968"/>
                </c:manualLayout>
              </c:layout>
              <c:showLegendKey val="0"/>
              <c:showVal val="1"/>
              <c:showCatName val="1"/>
              <c:showSerName val="0"/>
              <c:showPercent val="0"/>
              <c:showBubbleSize val="0"/>
              <c:extLst>
                <c:ext xmlns:c15="http://schemas.microsoft.com/office/drawing/2012/chart" uri="{CE6537A1-D6FC-4f65-9D91-7224C49458BB}">
                  <c15:layout>
                    <c:manualLayout>
                      <c:w val="0.29200252274291"/>
                      <c:h val="0.190119760479042"/>
                    </c:manualLayout>
                  </c15:layout>
                </c:ext>
              </c:extLst>
            </c:dLbl>
            <c:dLbl>
              <c:idx val="1"/>
              <c:delete val="1"/>
            </c:dLbl>
            <c:spPr>
              <a:solidFill>
                <a:schemeClr val="bg1"/>
              </a:solidFill>
              <a:ln>
                <a:solidFill>
                  <a:sysClr val="windowText" lastClr="000000">
                    <a:lumMod val="25000"/>
                    <a:lumOff val="75000"/>
                  </a:sysClr>
                </a:solidFill>
              </a:ln>
              <a:effectLst/>
            </c:spPr>
            <c:txPr>
              <a:bodyPr rot="0" spcFirstLastPara="1" vertOverflow="ellipsis" vert="horz" wrap="square" lIns="38100" tIns="19050" rIns="38100" bIns="19050" anchor="ctr" anchorCtr="1">
                <a:spAutoFit/>
              </a:bodyPr>
              <a:lstStyle/>
              <a:p>
                <a:pPr>
                  <a:defRPr lang="zh-CN" sz="900" b="0" i="0" u="none" strike="noStrike" kern="1200" baseline="0">
                    <a:ln>
                      <a:noFill/>
                    </a:ln>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1"/>
                <c:pt idx="0">
                  <c:v>充电桩占用</c:v>
                </c:pt>
              </c:strCache>
            </c:strRef>
          </c:cat>
          <c:val>
            <c:numRef>
              <c:f>Sheet1!$B$2:$B$3</c:f>
              <c:numCache>
                <c:formatCode>###0.0</c:formatCode>
                <c:ptCount val="2"/>
                <c:pt idx="0">
                  <c:v>7.2</c:v>
                </c:pt>
                <c:pt idx="1">
                  <c:v>92.8</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列1</c:v>
                </c:pt>
              </c:strCache>
            </c:strRef>
          </c:tx>
          <c:spPr/>
          <c:explosion val="0"/>
          <c:dPt>
            <c:idx val="0"/>
            <c:bubble3D val="0"/>
            <c:spPr>
              <a:solidFill>
                <a:srgbClr val="548235"/>
              </a:solidFill>
              <a:ln w="19050">
                <a:solidFill>
                  <a:schemeClr val="lt1"/>
                </a:solidFill>
              </a:ln>
              <a:effectLst/>
            </c:spPr>
          </c:dPt>
          <c:dPt>
            <c:idx val="1"/>
            <c:bubble3D val="0"/>
            <c:spPr>
              <a:solidFill>
                <a:schemeClr val="accent6"/>
              </a:solidFill>
              <a:ln w="19050">
                <a:noFill/>
              </a:ln>
              <a:effectLst/>
            </c:spPr>
          </c:dPt>
          <c:dLbls>
            <c:dLbl>
              <c:idx val="0"/>
              <c:layout>
                <c:manualLayout>
                  <c:x val="0.280587744023384"/>
                  <c:y val="0.00998003992015968"/>
                </c:manualLayout>
              </c:layout>
              <c:showLegendKey val="0"/>
              <c:showVal val="1"/>
              <c:showCatName val="1"/>
              <c:showSerName val="0"/>
              <c:showPercent val="0"/>
              <c:showBubbleSize val="0"/>
              <c:extLst>
                <c:ext xmlns:c15="http://schemas.microsoft.com/office/drawing/2012/chart" uri="{CE6537A1-D6FC-4f65-9D91-7224C49458BB}">
                  <c15:layout>
                    <c:manualLayout>
                      <c:w val="0.29126213592233"/>
                      <c:h val="0.190119760479042"/>
                    </c:manualLayout>
                  </c15:layout>
                </c:ext>
              </c:extLst>
            </c:dLbl>
            <c:dLbl>
              <c:idx val="1"/>
              <c:delete val="1"/>
            </c:dLbl>
            <c:spPr>
              <a:solidFill>
                <a:schemeClr val="bg1"/>
              </a:solidFill>
              <a:ln>
                <a:solidFill>
                  <a:sysClr val="windowText" lastClr="000000">
                    <a:lumMod val="25000"/>
                    <a:lumOff val="75000"/>
                  </a:sysClr>
                </a:solidFill>
              </a:ln>
              <a:effectLst/>
            </c:spPr>
            <c:txPr>
              <a:bodyPr rot="0" spcFirstLastPara="1" vertOverflow="ellipsis" vert="horz" wrap="square" lIns="38100" tIns="19050" rIns="38100" bIns="19050" anchor="ctr" anchorCtr="1">
                <a:spAutoFit/>
              </a:bodyPr>
              <a:lstStyle/>
              <a:p>
                <a:pPr>
                  <a:defRPr lang="zh-CN" sz="900" b="0" i="0" u="none" strike="noStrike" kern="1200" baseline="0">
                    <a:ln>
                      <a:noFill/>
                    </a:ln>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1"/>
                <c:pt idx="0">
                  <c:v>充电桩破损</c:v>
                </c:pt>
              </c:strCache>
            </c:strRef>
          </c:cat>
          <c:val>
            <c:numRef>
              <c:f>Sheet1!$B$2:$B$3</c:f>
              <c:numCache>
                <c:formatCode>###0.0</c:formatCode>
                <c:ptCount val="2"/>
                <c:pt idx="0">
                  <c:v>1.5</c:v>
                </c:pt>
                <c:pt idx="1">
                  <c:v>98.5</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
          <c:y val="0.0434439178515008"/>
          <c:w val="0.676998622047244"/>
          <c:h val="0.911457903973552"/>
        </c:manualLayout>
      </c:layout>
      <c:barChart>
        <c:barDir val="bar"/>
        <c:grouping val="clustered"/>
        <c:varyColors val="0"/>
        <c:ser>
          <c:idx val="0"/>
          <c:order val="0"/>
          <c:spPr>
            <a:solidFill>
              <a:srgbClr val="548235"/>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充电完成可以领取优惠卷</c:v>
                </c:pt>
                <c:pt idx="1">
                  <c:v>按照停车场标准收取</c:v>
                </c:pt>
                <c:pt idx="2">
                  <c:v>收取停车占位费</c:v>
                </c:pt>
                <c:pt idx="3">
                  <c:v>收取充电服务费</c:v>
                </c:pt>
                <c:pt idx="4">
                  <c:v>限时免费停车</c:v>
                </c:pt>
              </c:strCache>
            </c:strRef>
          </c:cat>
          <c:val>
            <c:numRef>
              <c:f>Sheet1!$B$2:$B$6</c:f>
              <c:numCache>
                <c:formatCode>###0.0</c:formatCode>
                <c:ptCount val="5"/>
                <c:pt idx="0">
                  <c:v>1</c:v>
                </c:pt>
                <c:pt idx="1">
                  <c:v>7</c:v>
                </c:pt>
                <c:pt idx="2">
                  <c:v>10</c:v>
                </c:pt>
                <c:pt idx="3">
                  <c:v>50</c:v>
                </c:pt>
                <c:pt idx="4">
                  <c:v>54</c:v>
                </c:pt>
              </c:numCache>
            </c:numRef>
          </c:val>
        </c:ser>
        <c:dLbls>
          <c:showLegendKey val="0"/>
          <c:showVal val="1"/>
          <c:showCatName val="0"/>
          <c:showSerName val="0"/>
          <c:showPercent val="0"/>
          <c:showBubbleSize val="0"/>
        </c:dLbls>
        <c:gapWidth val="219"/>
        <c:axId val="362827783"/>
        <c:axId val="379634987"/>
      </c:barChart>
      <c:catAx>
        <c:axId val="362827783"/>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79634987"/>
        <c:crosses val="autoZero"/>
        <c:auto val="1"/>
        <c:lblAlgn val="ctr"/>
        <c:lblOffset val="100"/>
        <c:noMultiLvlLbl val="0"/>
      </c:catAx>
      <c:valAx>
        <c:axId val="379634987"/>
        <c:scaling>
          <c:orientation val="minMax"/>
        </c:scaling>
        <c:delete val="1"/>
        <c:axPos val="b"/>
        <c:numFmt formatCode="###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628277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仿宋_GB2312" panose="02010609030101010101" pitchFamily="3" charset="-122"/>
          <a:ea typeface="仿宋_GB2312" panose="02010609030101010101" pitchFamily="3"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75"/>
          <c:y val="0.0434439178515008"/>
          <c:w val="0.95148031496063"/>
          <c:h val="0.825359275742706"/>
        </c:manualLayout>
      </c:layout>
      <c:barChart>
        <c:barDir val="col"/>
        <c:grouping val="clustered"/>
        <c:varyColors val="0"/>
        <c:ser>
          <c:idx val="0"/>
          <c:order val="0"/>
          <c:tx>
            <c:strRef>
              <c:f>Sheet1!$B$1</c:f>
              <c:strCache>
                <c:ptCount val="1"/>
                <c:pt idx="0">
                  <c:v>1</c:v>
                </c:pt>
              </c:strCache>
            </c:strRef>
          </c:tx>
          <c:spPr>
            <a:solidFill>
              <a:srgbClr val="548235"/>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5分钟以内</c:v>
                </c:pt>
                <c:pt idx="1">
                  <c:v>5-10分钟</c:v>
                </c:pt>
                <c:pt idx="2">
                  <c:v>10-20分钟</c:v>
                </c:pt>
                <c:pt idx="3">
                  <c:v>20分钟以上</c:v>
                </c:pt>
              </c:strCache>
            </c:strRef>
          </c:cat>
          <c:val>
            <c:numRef>
              <c:f>Sheet1!$B$2:$B$5</c:f>
              <c:numCache>
                <c:formatCode>###0.0</c:formatCode>
                <c:ptCount val="4"/>
                <c:pt idx="0">
                  <c:v>14.2666666666667</c:v>
                </c:pt>
                <c:pt idx="1">
                  <c:v>50.0666666666667</c:v>
                </c:pt>
                <c:pt idx="2">
                  <c:v>28.6</c:v>
                </c:pt>
                <c:pt idx="3">
                  <c:v>7.06666666666667</c:v>
                </c:pt>
              </c:numCache>
            </c:numRef>
          </c:val>
        </c:ser>
        <c:dLbls>
          <c:showLegendKey val="0"/>
          <c:showVal val="1"/>
          <c:showCatName val="0"/>
          <c:showSerName val="0"/>
          <c:showPercent val="0"/>
          <c:showBubbleSize val="0"/>
        </c:dLbls>
        <c:gapWidth val="219"/>
        <c:overlap val="-27"/>
        <c:axId val="362827783"/>
        <c:axId val="379634987"/>
      </c:barChart>
      <c:catAx>
        <c:axId val="36282778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79634987"/>
        <c:crosses val="autoZero"/>
        <c:auto val="1"/>
        <c:lblAlgn val="ctr"/>
        <c:lblOffset val="100"/>
        <c:noMultiLvlLbl val="0"/>
      </c:catAx>
      <c:valAx>
        <c:axId val="379634987"/>
        <c:scaling>
          <c:orientation val="minMax"/>
        </c:scaling>
        <c:delete val="1"/>
        <c:axPos val="l"/>
        <c:numFmt formatCode="###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628277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仿宋_GB2312" panose="02010609030101010101" pitchFamily="3" charset="-122"/>
          <a:ea typeface="仿宋_GB2312" panose="02010609030101010101" pitchFamily="3" charset="-122"/>
        </a:defRPr>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5"/>
          <c:y val="0.0434439178515008"/>
          <c:w val="0.76398031496063"/>
          <c:h val="0.955794058351402"/>
        </c:manualLayout>
      </c:layout>
      <c:barChart>
        <c:barDir val="bar"/>
        <c:grouping val="clustered"/>
        <c:varyColors val="0"/>
        <c:ser>
          <c:idx val="0"/>
          <c:order val="0"/>
          <c:spPr>
            <a:noFill/>
            <a:ln>
              <a:solidFill>
                <a:schemeClr val="accent3">
                  <a:lumMod val="75000"/>
                </a:schemeClr>
              </a:solidFill>
            </a:ln>
            <a:effectLst/>
          </c:spPr>
          <c:invertIfNegative val="0"/>
          <c:dPt>
            <c:idx val="0"/>
            <c:invertIfNegative val="0"/>
            <c:bubble3D val="0"/>
            <c:spPr>
              <a:noFill/>
              <a:ln>
                <a:solidFill>
                  <a:schemeClr val="accent3">
                    <a:lumMod val="75000"/>
                  </a:schemeClr>
                </a:solidFill>
              </a:ln>
              <a:effectLst/>
            </c:spPr>
          </c:dPt>
          <c:dLbls>
            <c:delete val="1"/>
          </c:dLbls>
          <c:cat>
            <c:strRef>
              <c:f>Sheet1!$A$2:$A$3</c:f>
              <c:strCache>
                <c:ptCount val="2"/>
                <c:pt idx="0">
                  <c:v>发票、退款等服务</c:v>
                </c:pt>
                <c:pt idx="1">
                  <c:v>支付方式</c:v>
                </c:pt>
              </c:strCache>
            </c:strRef>
          </c:cat>
          <c:val>
            <c:numRef>
              <c:f>Sheet1!$B$2:$B$3</c:f>
              <c:numCache>
                <c:formatCode>###0.0</c:formatCode>
                <c:ptCount val="2"/>
                <c:pt idx="0">
                  <c:v>10</c:v>
                </c:pt>
                <c:pt idx="1">
                  <c:v>10</c:v>
                </c:pt>
              </c:numCache>
            </c:numRef>
          </c:val>
        </c:ser>
        <c:ser>
          <c:idx val="1"/>
          <c:order val="1"/>
          <c:spPr>
            <a:solidFill>
              <a:srgbClr val="54823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3">
                        <a:lumMod val="50000"/>
                      </a:schemeClr>
                    </a:solidFill>
                    <a:latin typeface="仿宋_GB2312" panose="02010609030101010101" pitchFamily="3" charset="-122"/>
                    <a:ea typeface="仿宋_GB2312" panose="0201060903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发票、退款等服务</c:v>
                </c:pt>
                <c:pt idx="1">
                  <c:v>支付方式</c:v>
                </c:pt>
              </c:strCache>
            </c:strRef>
          </c:cat>
          <c:val>
            <c:numRef>
              <c:f>Sheet1!$C$2:$C$3</c:f>
              <c:numCache>
                <c:formatCode>General</c:formatCode>
                <c:ptCount val="2"/>
                <c:pt idx="0">
                  <c:v>8.5</c:v>
                </c:pt>
                <c:pt idx="1">
                  <c:v>8.5</c:v>
                </c:pt>
              </c:numCache>
            </c:numRef>
          </c:val>
        </c:ser>
        <c:dLbls>
          <c:showLegendKey val="0"/>
          <c:showVal val="1"/>
          <c:showCatName val="0"/>
          <c:showSerName val="0"/>
          <c:showPercent val="0"/>
          <c:showBubbleSize val="0"/>
        </c:dLbls>
        <c:gapWidth val="219"/>
        <c:overlap val="100"/>
        <c:axId val="362827783"/>
        <c:axId val="379634987"/>
      </c:barChart>
      <c:catAx>
        <c:axId val="362827783"/>
        <c:scaling>
          <c:orientation val="minMax"/>
        </c:scaling>
        <c:delete val="0"/>
        <c:axPos val="l"/>
        <c:numFmt formatCode="General" sourceLinked="0"/>
        <c:majorTickMark val="none"/>
        <c:minorTickMark val="none"/>
        <c:tickLblPos val="nextTo"/>
        <c:spPr>
          <a:noFill/>
          <a:ln w="9525" cap="flat" cmpd="sng" algn="ctr">
            <a:no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79634987"/>
        <c:crosses val="autoZero"/>
        <c:auto val="1"/>
        <c:lblAlgn val="ctr"/>
        <c:lblOffset val="100"/>
        <c:noMultiLvlLbl val="0"/>
      </c:catAx>
      <c:valAx>
        <c:axId val="379634987"/>
        <c:scaling>
          <c:orientation val="minMax"/>
          <c:min val="0"/>
        </c:scaling>
        <c:delete val="1"/>
        <c:axPos val="b"/>
        <c:numFmt formatCode="###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628277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仿宋_GB2312" panose="02010609030101010101" pitchFamily="3" charset="-122"/>
          <a:ea typeface="仿宋_GB2312" panose="02010609030101010101" pitchFamily="3" charset="-122"/>
        </a:defRPr>
      </a:pP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5"/>
          <c:y val="0.0434439178515008"/>
          <c:w val="0.76398031496063"/>
          <c:h val="0.955794058351402"/>
        </c:manualLayout>
      </c:layout>
      <c:barChart>
        <c:barDir val="bar"/>
        <c:grouping val="clustered"/>
        <c:varyColors val="0"/>
        <c:ser>
          <c:idx val="0"/>
          <c:order val="0"/>
          <c:spPr>
            <a:noFill/>
            <a:ln>
              <a:solidFill>
                <a:schemeClr val="accent3">
                  <a:lumMod val="75000"/>
                </a:schemeClr>
              </a:solidFill>
            </a:ln>
            <a:effectLst/>
          </c:spPr>
          <c:invertIfNegative val="0"/>
          <c:dPt>
            <c:idx val="0"/>
            <c:invertIfNegative val="0"/>
            <c:bubble3D val="0"/>
            <c:spPr>
              <a:noFill/>
              <a:ln>
                <a:solidFill>
                  <a:schemeClr val="accent3">
                    <a:lumMod val="75000"/>
                  </a:schemeClr>
                </a:solidFill>
              </a:ln>
              <a:effectLst/>
            </c:spPr>
          </c:dPt>
          <c:dLbls>
            <c:delete val="1"/>
          </c:dLbls>
          <c:cat>
            <c:strRef>
              <c:f>Sheet1!$A$2:$A$2</c:f>
              <c:strCache>
                <c:ptCount val="1"/>
                <c:pt idx="0">
                  <c:v>充电设备维护和管理方面的服务</c:v>
                </c:pt>
              </c:strCache>
            </c:strRef>
          </c:cat>
          <c:val>
            <c:numRef>
              <c:f>Sheet1!$B$2:$B$2</c:f>
              <c:numCache>
                <c:formatCode>###0.0</c:formatCode>
                <c:ptCount val="1"/>
                <c:pt idx="0">
                  <c:v>10</c:v>
                </c:pt>
              </c:numCache>
            </c:numRef>
          </c:val>
        </c:ser>
        <c:ser>
          <c:idx val="1"/>
          <c:order val="1"/>
          <c:spPr>
            <a:solidFill>
              <a:srgbClr val="54823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3">
                        <a:lumMod val="50000"/>
                      </a:schemeClr>
                    </a:solidFill>
                    <a:latin typeface="仿宋_GB2312" panose="02010609030101010101" pitchFamily="3" charset="-122"/>
                    <a:ea typeface="仿宋_GB2312" panose="0201060903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Sheet1!$A$2:$A$2</c:f>
              <c:strCache>
                <c:ptCount val="1"/>
                <c:pt idx="0">
                  <c:v>充电设备维护和管理方面的服务</c:v>
                </c:pt>
              </c:strCache>
            </c:strRef>
          </c:cat>
          <c:val>
            <c:numRef>
              <c:f>Sheet1!$C$2:$C$2</c:f>
              <c:numCache>
                <c:formatCode>General</c:formatCode>
                <c:ptCount val="1"/>
                <c:pt idx="0">
                  <c:v>7.85</c:v>
                </c:pt>
              </c:numCache>
            </c:numRef>
          </c:val>
        </c:ser>
        <c:dLbls>
          <c:showLegendKey val="0"/>
          <c:showVal val="1"/>
          <c:showCatName val="0"/>
          <c:showSerName val="0"/>
          <c:showPercent val="0"/>
          <c:showBubbleSize val="0"/>
        </c:dLbls>
        <c:gapWidth val="219"/>
        <c:overlap val="100"/>
        <c:axId val="362827783"/>
        <c:axId val="379634987"/>
      </c:barChart>
      <c:catAx>
        <c:axId val="362827783"/>
        <c:scaling>
          <c:orientation val="minMax"/>
        </c:scaling>
        <c:delete val="0"/>
        <c:axPos val="l"/>
        <c:numFmt formatCode="General" sourceLinked="0"/>
        <c:majorTickMark val="none"/>
        <c:minorTickMark val="none"/>
        <c:tickLblPos val="nextTo"/>
        <c:spPr>
          <a:noFill/>
          <a:ln w="9525" cap="flat" cmpd="sng" algn="ctr">
            <a:no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79634987"/>
        <c:crosses val="autoZero"/>
        <c:auto val="1"/>
        <c:lblAlgn val="ctr"/>
        <c:lblOffset val="100"/>
        <c:noMultiLvlLbl val="0"/>
      </c:catAx>
      <c:valAx>
        <c:axId val="379634987"/>
        <c:scaling>
          <c:orientation val="minMax"/>
        </c:scaling>
        <c:delete val="1"/>
        <c:axPos val="b"/>
        <c:numFmt formatCode="###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628277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仿宋_GB2312" panose="02010609030101010101" pitchFamily="3" charset="-122"/>
          <a:ea typeface="仿宋_GB2312" panose="02010609030101010101" pitchFamily="3" charset="-122"/>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75"/>
          <c:y val="0.0434439178515008"/>
          <c:w val="0.95148031496063"/>
          <c:h val="0.859175700863479"/>
        </c:manualLayout>
      </c:layout>
      <c:barChart>
        <c:barDir val="col"/>
        <c:grouping val="clustered"/>
        <c:varyColors val="0"/>
        <c:ser>
          <c:idx val="0"/>
          <c:order val="0"/>
          <c:tx>
            <c:strRef>
              <c:f>Sheet1!$B$1</c:f>
              <c:strCache>
                <c:ptCount val="1"/>
                <c:pt idx="0">
                  <c:v>1</c:v>
                </c:pt>
              </c:strCache>
            </c:strRef>
          </c:tx>
          <c:spPr>
            <a:solidFill>
              <a:srgbClr val="548235"/>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0-1次</c:v>
                </c:pt>
                <c:pt idx="1">
                  <c:v>2-3次</c:v>
                </c:pt>
                <c:pt idx="2">
                  <c:v>4-6次</c:v>
                </c:pt>
                <c:pt idx="3">
                  <c:v>7次以上</c:v>
                </c:pt>
              </c:strCache>
            </c:strRef>
          </c:cat>
          <c:val>
            <c:numRef>
              <c:f>Sheet1!$B$2:$B$5</c:f>
              <c:numCache>
                <c:formatCode>###0.0</c:formatCode>
                <c:ptCount val="4"/>
                <c:pt idx="0">
                  <c:v>16.2666666666667</c:v>
                </c:pt>
                <c:pt idx="1">
                  <c:v>66.6666666666667</c:v>
                </c:pt>
                <c:pt idx="2">
                  <c:v>14.0666666666667</c:v>
                </c:pt>
                <c:pt idx="3">
                  <c:v>3</c:v>
                </c:pt>
              </c:numCache>
            </c:numRef>
          </c:val>
        </c:ser>
        <c:dLbls>
          <c:showLegendKey val="0"/>
          <c:showVal val="1"/>
          <c:showCatName val="0"/>
          <c:showSerName val="0"/>
          <c:showPercent val="0"/>
          <c:showBubbleSize val="0"/>
        </c:dLbls>
        <c:gapWidth val="219"/>
        <c:overlap val="-27"/>
        <c:axId val="362827783"/>
        <c:axId val="379634987"/>
      </c:barChart>
      <c:catAx>
        <c:axId val="36282778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79634987"/>
        <c:crosses val="autoZero"/>
        <c:auto val="1"/>
        <c:lblAlgn val="ctr"/>
        <c:lblOffset val="100"/>
        <c:noMultiLvlLbl val="0"/>
      </c:catAx>
      <c:valAx>
        <c:axId val="379634987"/>
        <c:scaling>
          <c:orientation val="minMax"/>
        </c:scaling>
        <c:delete val="1"/>
        <c:axPos val="l"/>
        <c:numFmt formatCode="###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628277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仿宋_GB2312" panose="02010609030101010101" pitchFamily="3" charset="-122"/>
          <a:ea typeface="仿宋_GB2312" panose="02010609030101010101" pitchFamily="3" charset="-122"/>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
          <c:y val="0.0434439178515008"/>
          <c:w val="0.82398031496063"/>
          <c:h val="0.912315797481837"/>
        </c:manualLayout>
      </c:layout>
      <c:barChart>
        <c:barDir val="bar"/>
        <c:grouping val="clustered"/>
        <c:varyColors val="0"/>
        <c:ser>
          <c:idx val="0"/>
          <c:order val="0"/>
          <c:spPr>
            <a:solidFill>
              <a:srgbClr val="548235"/>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Sheet1!$A$1:$A$8</c:f>
              <c:strCache>
                <c:ptCount val="7"/>
                <c:pt idx="0">
                  <c:v>特斯拉超级充电站</c:v>
                </c:pt>
                <c:pt idx="1">
                  <c:v>开迈斯充电</c:v>
                </c:pt>
                <c:pt idx="2">
                  <c:v>特来电TELD</c:v>
                </c:pt>
                <c:pt idx="3">
                  <c:v>云快充</c:v>
                </c:pt>
                <c:pt idx="4">
                  <c:v>南方电网</c:v>
                </c:pt>
                <c:pt idx="5">
                  <c:v>星星充电</c:v>
                </c:pt>
                <c:pt idx="6">
                  <c:v>小桔充电</c:v>
                </c:pt>
              </c:strCache>
            </c:strRef>
          </c:cat>
          <c:val>
            <c:numRef>
              <c:f>Sheet1!$B$1:$B$8</c:f>
              <c:numCache>
                <c:formatCode>###0.0</c:formatCode>
                <c:ptCount val="7"/>
                <c:pt idx="0">
                  <c:v>8.56666666666667</c:v>
                </c:pt>
                <c:pt idx="1">
                  <c:v>26.6333333333333</c:v>
                </c:pt>
                <c:pt idx="2">
                  <c:v>31.5333333333333</c:v>
                </c:pt>
                <c:pt idx="3">
                  <c:v>32.4</c:v>
                </c:pt>
                <c:pt idx="4">
                  <c:v>37.1</c:v>
                </c:pt>
                <c:pt idx="5">
                  <c:v>39.2666666666667</c:v>
                </c:pt>
                <c:pt idx="6">
                  <c:v>40.7</c:v>
                </c:pt>
              </c:numCache>
            </c:numRef>
          </c:val>
        </c:ser>
        <c:dLbls>
          <c:showLegendKey val="0"/>
          <c:showVal val="1"/>
          <c:showCatName val="0"/>
          <c:showSerName val="0"/>
          <c:showPercent val="0"/>
          <c:showBubbleSize val="0"/>
        </c:dLbls>
        <c:gapWidth val="219"/>
        <c:axId val="362827783"/>
        <c:axId val="379634987"/>
      </c:barChart>
      <c:catAx>
        <c:axId val="362827783"/>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79634987"/>
        <c:crosses val="autoZero"/>
        <c:auto val="1"/>
        <c:lblAlgn val="ctr"/>
        <c:lblOffset val="100"/>
        <c:noMultiLvlLbl val="0"/>
      </c:catAx>
      <c:valAx>
        <c:axId val="379634987"/>
        <c:scaling>
          <c:orientation val="minMax"/>
        </c:scaling>
        <c:delete val="1"/>
        <c:axPos val="b"/>
        <c:numFmt formatCode="###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628277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仿宋_GB2312" panose="02010609030101010101" pitchFamily="3" charset="-122"/>
          <a:ea typeface="仿宋_GB2312" panose="02010609030101010101" pitchFamily="3" charset="-122"/>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75"/>
          <c:y val="0.0434439178515008"/>
          <c:w val="0.95148031496063"/>
          <c:h val="0.860598639231779"/>
        </c:manualLayout>
      </c:layout>
      <c:barChart>
        <c:barDir val="col"/>
        <c:grouping val="clustered"/>
        <c:varyColors val="0"/>
        <c:ser>
          <c:idx val="0"/>
          <c:order val="0"/>
          <c:tx>
            <c:strRef>
              <c:f>Sheet1!$B$1</c:f>
              <c:strCache>
                <c:ptCount val="1"/>
                <c:pt idx="0">
                  <c:v>1</c:v>
                </c:pt>
              </c:strCache>
            </c:strRef>
          </c:tx>
          <c:spPr>
            <a:solidFill>
              <a:srgbClr val="548235"/>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家附近的充电桩</c:v>
                </c:pt>
                <c:pt idx="1">
                  <c:v>单位附近充电桩</c:v>
                </c:pt>
                <c:pt idx="2">
                  <c:v>便携式充电桩</c:v>
                </c:pt>
                <c:pt idx="3">
                  <c:v>超级充电站</c:v>
                </c:pt>
              </c:strCache>
            </c:strRef>
          </c:cat>
          <c:val>
            <c:numRef>
              <c:f>Sheet1!$B$2:$B$5</c:f>
              <c:numCache>
                <c:formatCode>###0.0</c:formatCode>
                <c:ptCount val="4"/>
                <c:pt idx="0">
                  <c:v>70.7333333333333</c:v>
                </c:pt>
                <c:pt idx="1">
                  <c:v>56.1333333333333</c:v>
                </c:pt>
                <c:pt idx="2">
                  <c:v>30</c:v>
                </c:pt>
                <c:pt idx="3">
                  <c:v>19.0333333333333</c:v>
                </c:pt>
              </c:numCache>
            </c:numRef>
          </c:val>
        </c:ser>
        <c:dLbls>
          <c:showLegendKey val="0"/>
          <c:showVal val="1"/>
          <c:showCatName val="0"/>
          <c:showSerName val="0"/>
          <c:showPercent val="0"/>
          <c:showBubbleSize val="0"/>
        </c:dLbls>
        <c:gapWidth val="219"/>
        <c:overlap val="-27"/>
        <c:axId val="362827783"/>
        <c:axId val="379634987"/>
      </c:barChart>
      <c:catAx>
        <c:axId val="36282778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79634987"/>
        <c:crosses val="autoZero"/>
        <c:auto val="1"/>
        <c:lblAlgn val="ctr"/>
        <c:lblOffset val="100"/>
        <c:noMultiLvlLbl val="0"/>
      </c:catAx>
      <c:valAx>
        <c:axId val="379634987"/>
        <c:scaling>
          <c:orientation val="minMax"/>
        </c:scaling>
        <c:delete val="1"/>
        <c:axPos val="l"/>
        <c:numFmt formatCode="###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628277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仿宋_GB2312" panose="02010609030101010101" pitchFamily="3" charset="-122"/>
          <a:ea typeface="仿宋_GB2312" panose="02010609030101010101" pitchFamily="3" charset="-122"/>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75"/>
          <c:y val="0.0434439178515008"/>
          <c:w val="0.95148031496063"/>
          <c:h val="0.825359275742706"/>
        </c:manualLayout>
      </c:layout>
      <c:barChart>
        <c:barDir val="col"/>
        <c:grouping val="clustered"/>
        <c:varyColors val="0"/>
        <c:ser>
          <c:idx val="0"/>
          <c:order val="0"/>
          <c:tx>
            <c:strRef>
              <c:f>Sheet1!$B$1</c:f>
              <c:strCache>
                <c:ptCount val="1"/>
                <c:pt idx="0">
                  <c:v>1</c:v>
                </c:pt>
              </c:strCache>
            </c:strRef>
          </c:tx>
          <c:spPr>
            <a:solidFill>
              <a:srgbClr val="548235"/>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10分钟以内</c:v>
                </c:pt>
                <c:pt idx="1">
                  <c:v>10-30分钟</c:v>
                </c:pt>
                <c:pt idx="2">
                  <c:v>30-60分钟</c:v>
                </c:pt>
                <c:pt idx="3">
                  <c:v>60分钟及以上</c:v>
                </c:pt>
              </c:strCache>
            </c:strRef>
          </c:cat>
          <c:val>
            <c:numRef>
              <c:f>Sheet1!$B$2:$B$5</c:f>
              <c:numCache>
                <c:formatCode>###0.0</c:formatCode>
                <c:ptCount val="4"/>
                <c:pt idx="0">
                  <c:v>10.9666666666667</c:v>
                </c:pt>
                <c:pt idx="1">
                  <c:v>55.9</c:v>
                </c:pt>
                <c:pt idx="2">
                  <c:v>27.5666666666667</c:v>
                </c:pt>
                <c:pt idx="3">
                  <c:v>5.56666666666667</c:v>
                </c:pt>
              </c:numCache>
            </c:numRef>
          </c:val>
        </c:ser>
        <c:dLbls>
          <c:showLegendKey val="0"/>
          <c:showVal val="1"/>
          <c:showCatName val="0"/>
          <c:showSerName val="0"/>
          <c:showPercent val="0"/>
          <c:showBubbleSize val="0"/>
        </c:dLbls>
        <c:gapWidth val="219"/>
        <c:overlap val="-27"/>
        <c:axId val="362827783"/>
        <c:axId val="379634987"/>
      </c:barChart>
      <c:catAx>
        <c:axId val="36282778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79634987"/>
        <c:crosses val="autoZero"/>
        <c:auto val="1"/>
        <c:lblAlgn val="ctr"/>
        <c:lblOffset val="100"/>
        <c:noMultiLvlLbl val="0"/>
      </c:catAx>
      <c:valAx>
        <c:axId val="379634987"/>
        <c:scaling>
          <c:orientation val="minMax"/>
        </c:scaling>
        <c:delete val="1"/>
        <c:axPos val="l"/>
        <c:numFmt formatCode="###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628277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仿宋_GB2312" panose="02010609030101010101" pitchFamily="3" charset="-122"/>
          <a:ea typeface="仿宋_GB2312" panose="02010609030101010101" pitchFamily="3" charset="-122"/>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
          <c:y val="0.0434439178515008"/>
          <c:w val="0.61898031496063"/>
          <c:h val="0.955794058351402"/>
        </c:manualLayout>
      </c:layout>
      <c:barChart>
        <c:barDir val="bar"/>
        <c:grouping val="clustered"/>
        <c:varyColors val="0"/>
        <c:ser>
          <c:idx val="0"/>
          <c:order val="0"/>
          <c:tx>
            <c:strRef>
              <c:f>Sheet1!$B$1</c:f>
              <c:strCache>
                <c:ptCount val="1"/>
                <c:pt idx="0">
                  <c:v>1</c:v>
                </c:pt>
              </c:strCache>
            </c:strRef>
          </c:tx>
          <c:spPr>
            <a:solidFill>
              <a:srgbClr val="548235"/>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仿宋_GB2312" panose="02010609030101010101" pitchFamily="3" charset="-122"/>
                    <a:ea typeface="仿宋_GB2312" panose="0201060903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2km以内（驾车约5-10分钟）</c:v>
                </c:pt>
                <c:pt idx="1">
                  <c:v>5km以内（驾车约10-15分钟）</c:v>
                </c:pt>
                <c:pt idx="2">
                  <c:v>10km以内（驾车约15-20分钟）</c:v>
                </c:pt>
                <c:pt idx="3">
                  <c:v>10km及以上（驾车约20分钟以上）</c:v>
                </c:pt>
              </c:strCache>
            </c:strRef>
          </c:cat>
          <c:val>
            <c:numRef>
              <c:f>Sheet1!$B$2:$B$5</c:f>
              <c:numCache>
                <c:formatCode>###0.0</c:formatCode>
                <c:ptCount val="4"/>
                <c:pt idx="0">
                  <c:v>19.7</c:v>
                </c:pt>
                <c:pt idx="1">
                  <c:v>54.0666666666667</c:v>
                </c:pt>
                <c:pt idx="2">
                  <c:v>23.6333333333333</c:v>
                </c:pt>
                <c:pt idx="3">
                  <c:v>2.6</c:v>
                </c:pt>
              </c:numCache>
            </c:numRef>
          </c:val>
        </c:ser>
        <c:dLbls>
          <c:showLegendKey val="0"/>
          <c:showVal val="1"/>
          <c:showCatName val="0"/>
          <c:showSerName val="0"/>
          <c:showPercent val="0"/>
          <c:showBubbleSize val="0"/>
        </c:dLbls>
        <c:gapWidth val="219"/>
        <c:axId val="362827783"/>
        <c:axId val="379634987"/>
      </c:barChart>
      <c:catAx>
        <c:axId val="362827783"/>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79634987"/>
        <c:crosses val="autoZero"/>
        <c:auto val="1"/>
        <c:lblAlgn val="ctr"/>
        <c:lblOffset val="100"/>
        <c:noMultiLvlLbl val="0"/>
      </c:catAx>
      <c:valAx>
        <c:axId val="379634987"/>
        <c:scaling>
          <c:orientation val="minMax"/>
        </c:scaling>
        <c:delete val="1"/>
        <c:axPos val="b"/>
        <c:numFmt formatCode="###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crossAx val="3628277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仿宋_GB2312" panose="02010609030101010101" pitchFamily="3" charset="-122"/>
          <a:ea typeface="仿宋_GB2312" panose="02010609030101010101" pitchFamily="3"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1"/>
    <customShpInfo spid="_x0000_s2050"/>
  </customShpExts>
</s:customData>
</file>

<file path=customXml/item2.xml><?xml version="1.0" encoding="utf-8"?>
<b:Sources xmlns:b="http://schemas.openxmlformats.org/officeDocument/2006/bibliography" xmlns="http://schemas.openxmlformats.org/officeDocument/2006/bibliography" StyleName="APA" Version="6"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2765AA-E93B-4A05-91C7-10C11311E725}">
  <ds:schemaRefs/>
</ds:datastoreItem>
</file>

<file path=docProps/app.xml><?xml version="1.0" encoding="utf-8"?>
<Properties xmlns="http://schemas.openxmlformats.org/officeDocument/2006/extended-properties" xmlns:vt="http://schemas.openxmlformats.org/officeDocument/2006/docPropsVTypes">
  <Template>Normal.dotm</Template>
  <Pages>53</Pages>
  <Words>2432</Words>
  <Characters>13863</Characters>
  <Lines>115</Lines>
  <Paragraphs>32</Paragraphs>
  <TotalTime>8</TotalTime>
  <ScaleCrop>false</ScaleCrop>
  <LinksUpToDate>false</LinksUpToDate>
  <CharactersWithSpaces>16263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2023-11-28T10:19:00Z</dcterms:created>
  <dc:creator>LSY</dc:creator>
  <cp:lastModifiedBy>姚立超</cp:lastModifiedBy>
  <cp:lastPrinted>2023-12-11T03:00:00Z</cp:lastPrinted>
  <dcterms:modified xsi:type="dcterms:W3CDTF">2024-03-12T06:26:51Z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1A6E20F95369440E969D21E9E8E49D3E</vt:lpwstr>
  </property>
</Properties>
</file>